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C562E0">
      <w:pPr>
        <w:jc w:val="center"/>
        <w:rPr>
          <w:rFonts w:hint="eastAsia" w:eastAsia="宋体"/>
          <w:lang w:eastAsia="zh-CN"/>
        </w:rPr>
      </w:pPr>
    </w:p>
    <w:p w14:paraId="7B265013">
      <w:pPr>
        <w:jc w:val="center"/>
        <w:rPr>
          <w:rFonts w:hint="eastAsia" w:ascii="微软雅黑" w:hAnsi="微软雅黑" w:eastAsia="微软雅黑" w:cs="微软雅黑"/>
          <w:b/>
          <w:bCs/>
          <w:kern w:val="0"/>
          <w:sz w:val="56"/>
          <w:szCs w:val="5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56"/>
          <w:szCs w:val="56"/>
          <w:lang w:val="en-US" w:eastAsia="zh-CN"/>
        </w:rPr>
        <w:drawing>
          <wp:inline distT="0" distB="0" distL="114300" distR="114300">
            <wp:extent cx="6479540" cy="2879725"/>
            <wp:effectExtent l="0" t="0" r="16510" b="15875"/>
            <wp:docPr id="1" name="图片 1" descr="E:/李姗/MIE/公司logo/沙特五大banner2.0.jpg沙特五大banner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李姗/MIE/公司logo/沙特五大banner2.0.jpg沙特五大banner2.0"/>
                    <pic:cNvPicPr>
                      <a:picLocks noChangeAspect="1"/>
                    </pic:cNvPicPr>
                  </pic:nvPicPr>
                  <pic:blipFill>
                    <a:blip r:embed="rId4"/>
                    <a:srcRect t="5" b="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kern w:val="0"/>
          <w:sz w:val="72"/>
          <w:szCs w:val="72"/>
          <w:lang w:val="en-US" w:eastAsia="zh-CN"/>
        </w:rPr>
        <w:t>2025年</w:t>
      </w:r>
      <w:r>
        <w:rPr>
          <w:rFonts w:hint="eastAsia" w:ascii="微软雅黑" w:hAnsi="微软雅黑" w:eastAsia="微软雅黑"/>
          <w:b/>
          <w:bCs/>
          <w:kern w:val="0"/>
          <w:sz w:val="72"/>
          <w:szCs w:val="72"/>
          <w:lang w:val="en-US" w:eastAsia="zh-CN"/>
        </w:rPr>
        <w:t>日本能源展</w:t>
      </w:r>
    </w:p>
    <w:p w14:paraId="65F46468">
      <w:pPr>
        <w:jc w:val="center"/>
        <w:rPr>
          <w:rFonts w:hint="eastAsia" w:ascii="微软雅黑" w:hAnsi="微软雅黑" w:eastAsia="微软雅黑" w:cs="微软雅黑"/>
          <w:b/>
          <w:bCs/>
          <w:kern w:val="0"/>
          <w:sz w:val="32"/>
          <w:szCs w:val="32"/>
          <w:lang w:val="en-US" w:eastAsia="zh-CN"/>
        </w:rPr>
      </w:pPr>
    </w:p>
    <w:p w14:paraId="5C2BD715">
      <w:pPr>
        <w:jc w:val="center"/>
        <w:rPr>
          <w:rFonts w:hint="eastAsia" w:ascii="微软雅黑" w:hAnsi="微软雅黑" w:eastAsia="微软雅黑" w:cs="微软雅黑"/>
          <w:b/>
          <w:bCs/>
          <w:kern w:val="0"/>
          <w:sz w:val="56"/>
          <w:szCs w:val="5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56"/>
          <w:szCs w:val="56"/>
          <w:lang w:val="en-US" w:eastAsia="zh-CN"/>
        </w:rPr>
        <w:drawing>
          <wp:inline distT="0" distB="0" distL="114300" distR="114300">
            <wp:extent cx="1870710" cy="526415"/>
            <wp:effectExtent l="0" t="0" r="0" b="6985"/>
            <wp:docPr id="4" name="Picture 4" descr="E:/李姗/MIE/2025招展资料/6.18-20 2025年日本能源展招展资料/japan-logo.pngjapan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E:/李姗/MIE/2025招展资料/6.18-20 2025年日本能源展招展资料/japan-logo.pngjapan-logo"/>
                    <pic:cNvPicPr>
                      <a:picLocks noChangeAspect="1"/>
                    </pic:cNvPicPr>
                  </pic:nvPicPr>
                  <pic:blipFill>
                    <a:blip r:embed="rId5"/>
                    <a:srcRect l="-6833" t="-5748" r="-8063" b="-11171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7D956">
      <w:pPr>
        <w:jc w:val="center"/>
        <w:rPr>
          <w:rFonts w:hint="eastAsia" w:ascii="微软雅黑" w:hAnsi="微软雅黑" w:eastAsia="微软雅黑" w:cs="微软雅黑"/>
          <w:b/>
          <w:bCs/>
          <w:kern w:val="0"/>
          <w:sz w:val="32"/>
          <w:szCs w:val="32"/>
          <w:lang w:val="en-US" w:eastAsia="zh-CN"/>
        </w:rPr>
      </w:pPr>
    </w:p>
    <w:p w14:paraId="4B6D39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展会介绍</w:t>
      </w:r>
    </w:p>
    <w:p w14:paraId="5E3350F3">
      <w:pPr>
        <w:pStyle w:val="2"/>
        <w:tabs>
          <w:tab w:val="left" w:pos="5670"/>
        </w:tabs>
        <w:spacing w:before="159" w:line="187" w:lineRule="auto"/>
        <w:jc w:val="left"/>
        <w:rPr>
          <w:rFonts w:hint="default"/>
          <w:b/>
          <w:bCs/>
          <w:color w:val="050E17"/>
          <w:spacing w:val="9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50E17"/>
          <w:spacing w:val="9"/>
          <w:sz w:val="28"/>
          <w:szCs w:val="28"/>
        </w:rPr>
        <w:t>●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 </w:t>
      </w:r>
      <w:r>
        <w:rPr>
          <w:b/>
          <w:bCs/>
          <w:color w:val="050E17"/>
          <w:spacing w:val="9"/>
          <w:sz w:val="28"/>
          <w:szCs w:val="28"/>
        </w:rPr>
        <w:t>展会时间</w:t>
      </w:r>
      <w:r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  <w:t>：</w:t>
      </w:r>
      <w:r>
        <w:rPr>
          <w:b/>
          <w:bCs/>
          <w:color w:val="050E17"/>
          <w:spacing w:val="9"/>
          <w:sz w:val="28"/>
          <w:szCs w:val="28"/>
        </w:rPr>
        <w:t>202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>5</w:t>
      </w:r>
      <w:r>
        <w:rPr>
          <w:b/>
          <w:bCs/>
          <w:color w:val="050E17"/>
          <w:spacing w:val="9"/>
          <w:sz w:val="28"/>
          <w:szCs w:val="28"/>
        </w:rPr>
        <w:t>年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>6</w:t>
      </w:r>
      <w:r>
        <w:rPr>
          <w:b/>
          <w:bCs/>
          <w:color w:val="050E17"/>
          <w:spacing w:val="9"/>
          <w:sz w:val="28"/>
          <w:szCs w:val="28"/>
        </w:rPr>
        <w:t>月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>18-20</w:t>
      </w:r>
      <w:r>
        <w:rPr>
          <w:b/>
          <w:bCs/>
          <w:color w:val="050E17"/>
          <w:spacing w:val="9"/>
          <w:sz w:val="28"/>
          <w:szCs w:val="28"/>
        </w:rPr>
        <w:t>日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     展会地点：</w:t>
      </w:r>
      <w:r>
        <w:rPr>
          <w:rFonts w:hint="eastAsia"/>
          <w:b/>
          <w:sz w:val="28"/>
          <w:szCs w:val="28"/>
          <w:lang w:val="en-US" w:eastAsia="zh-CN"/>
        </w:rPr>
        <w:t>日本东京</w:t>
      </w:r>
      <w:r>
        <w:rPr>
          <w:rFonts w:hint="eastAsia" w:ascii="微软雅黑" w:hAnsi="微软雅黑" w:eastAsia="微软雅黑"/>
          <w:b/>
          <w:sz w:val="28"/>
          <w:szCs w:val="28"/>
        </w:rPr>
        <w:t>国际展览中心</w:t>
      </w:r>
    </w:p>
    <w:p w14:paraId="6D30BEDC">
      <w:pPr>
        <w:pStyle w:val="2"/>
        <w:keepNext w:val="0"/>
        <w:keepLines w:val="0"/>
        <w:pageBreakBefore w:val="0"/>
        <w:widowControl w:val="0"/>
        <w:tabs>
          <w:tab w:val="left" w:pos="5670"/>
          <w:tab w:val="left" w:pos="5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9" w:line="240" w:lineRule="auto"/>
        <w:jc w:val="left"/>
        <w:textAlignment w:val="auto"/>
        <w:rPr>
          <w:rFonts w:hint="default"/>
          <w:b/>
          <w:bCs/>
          <w:color w:val="050E17"/>
          <w:spacing w:val="9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50E17"/>
          <w:spacing w:val="9"/>
          <w:sz w:val="28"/>
          <w:szCs w:val="28"/>
        </w:rPr>
        <w:t>●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 </w:t>
      </w:r>
      <w:r>
        <w:rPr>
          <w:b/>
          <w:bCs/>
          <w:color w:val="050E17"/>
          <w:spacing w:val="9"/>
          <w:sz w:val="28"/>
          <w:szCs w:val="28"/>
        </w:rPr>
        <w:t>主办单位</w:t>
      </w:r>
      <w:r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  <w:t>：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DMG                   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ab/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>展会届数：第七届</w:t>
      </w:r>
    </w:p>
    <w:p w14:paraId="46DB4EDF">
      <w:pPr>
        <w:pStyle w:val="2"/>
        <w:keepNext w:val="0"/>
        <w:keepLines w:val="0"/>
        <w:pageBreakBefore w:val="0"/>
        <w:widowControl w:val="0"/>
        <w:tabs>
          <w:tab w:val="right" w:pos="54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9" w:line="240" w:lineRule="auto"/>
        <w:ind w:left="0" w:leftChars="0" w:firstLine="0" w:firstLineChars="0"/>
        <w:jc w:val="both"/>
        <w:textAlignment w:val="auto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inline distT="0" distB="0" distL="114300" distR="114300">
            <wp:extent cx="6480175" cy="2742565"/>
            <wp:effectExtent l="0" t="0" r="15875" b="635"/>
            <wp:docPr id="3" name="http://photo-static-api.fotomore.com/creative/vcg/400/new/VCG41N1198008475.jpg?uid=386&amp;timestamp=1711594752&amp;sign=a2f9e977e357b6dbac4838a6f819ee5a" descr="E:/李姗/MIE/2025招展资料/6.18-20 2025年日本能源展招展资料/3ro01053.jpg3ro01053"/>
            <wp:cNvGraphicFramePr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0_sjzg_VCG41N1198008475&quot;,&quot;origin&quot;:0,&quot;type&quot;:&quot;pictures&quot;,&quot;user&quot;:&quot;1558062249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ttp://photo-static-api.fotomore.com/creative/vcg/400/new/VCG41N1198008475.jpg?uid=386&amp;timestamp=1711594752&amp;sign=a2f9e977e357b6dbac4838a6f819ee5a" descr="E:/李姗/MIE/2025招展资料/6.18-20 2025年日本能源展招展资料/3ro01053.jpg3ro01053"/>
                    <pic:cNvPicPr/>
                  </pic:nvPicPr>
                  <pic:blipFill>
                    <a:blip r:embed="rId6"/>
                    <a:srcRect t="18305" b="1830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C81B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default" w:ascii="微软雅黑" w:hAnsi="微软雅黑" w:eastAsia="微软雅黑"/>
          <w:sz w:val="28"/>
          <w:szCs w:val="28"/>
        </w:rPr>
        <w:t>日本能源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展由DMG集团主办，展出领域包括</w:t>
      </w:r>
      <w:r>
        <w:rPr>
          <w:rFonts w:hint="default" w:ascii="微软雅黑" w:hAnsi="微软雅黑" w:eastAsia="微软雅黑"/>
          <w:sz w:val="28"/>
          <w:szCs w:val="28"/>
        </w:rPr>
        <w:t>天然气和液化天然气、氢气和氨气、低碳解决方案、港口和航运、可再生能源、能源效率、数字化和A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I。展会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提供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了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一个获取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领域内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最新的设备、系统和创新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技术的分享平台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，同时促进能源生态系统之间的关键对话，积极塑造能源未来。</w:t>
      </w:r>
    </w:p>
    <w:p w14:paraId="1FF69D8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t>2025年6月18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-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20日，</w:t>
      </w:r>
      <w:r>
        <w:rPr>
          <w:rFonts w:hint="default" w:ascii="微软雅黑" w:hAnsi="微软雅黑" w:eastAsia="微软雅黑"/>
          <w:sz w:val="28"/>
          <w:szCs w:val="28"/>
        </w:rPr>
        <w:t>日本能源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展将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在东京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国际展览中心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举行，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预计将有超300家企业参展，观众人数将超过6000人，行业代表超700人，演讲嘉宾超200位。</w:t>
      </w:r>
    </w:p>
    <w:tbl>
      <w:tblPr>
        <w:tblStyle w:val="7"/>
        <w:tblW w:w="1020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0"/>
        <w:gridCol w:w="2562"/>
        <w:gridCol w:w="2548"/>
        <w:gridCol w:w="2555"/>
      </w:tblGrid>
      <w:tr w14:paraId="50CEF2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 w:hRule="atLeast"/>
          <w:jc w:val="center"/>
        </w:trPr>
        <w:tc>
          <w:tcPr>
            <w:tcW w:w="2412" w:type="dxa"/>
            <w:shd w:val="clear" w:color="auto" w:fill="4069DD"/>
            <w:vAlign w:val="center"/>
          </w:tcPr>
          <w:p w14:paraId="320F1E6B">
            <w:pPr>
              <w:spacing w:before="211" w:line="190" w:lineRule="auto"/>
              <w:ind w:left="685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3"/>
                <w:sz w:val="28"/>
                <w:szCs w:val="28"/>
              </w:rPr>
              <w:t>国际展商</w:t>
            </w:r>
          </w:p>
        </w:tc>
        <w:tc>
          <w:tcPr>
            <w:tcW w:w="2432" w:type="dxa"/>
            <w:shd w:val="clear" w:color="auto" w:fill="4069DD"/>
            <w:vAlign w:val="center"/>
          </w:tcPr>
          <w:p w14:paraId="706D698C">
            <w:pPr>
              <w:spacing w:before="210" w:line="189" w:lineRule="auto"/>
              <w:ind w:left="681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参展人数</w:t>
            </w:r>
          </w:p>
        </w:tc>
        <w:tc>
          <w:tcPr>
            <w:tcW w:w="2419" w:type="dxa"/>
            <w:shd w:val="clear" w:color="auto" w:fill="4069DD"/>
            <w:vAlign w:val="center"/>
          </w:tcPr>
          <w:p w14:paraId="6E4BC116">
            <w:pPr>
              <w:spacing w:before="210" w:line="191" w:lineRule="auto"/>
              <w:ind w:left="678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spacing w:val="6"/>
                <w:sz w:val="28"/>
                <w:szCs w:val="28"/>
                <w:lang w:val="en-US" w:eastAsia="zh-CN"/>
              </w:rPr>
              <w:t>辐射</w:t>
            </w: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国家</w:t>
            </w:r>
          </w:p>
        </w:tc>
        <w:tc>
          <w:tcPr>
            <w:tcW w:w="2426" w:type="dxa"/>
            <w:shd w:val="clear" w:color="auto" w:fill="4069DD"/>
            <w:vAlign w:val="center"/>
          </w:tcPr>
          <w:p w14:paraId="50A5D331">
            <w:pPr>
              <w:spacing w:before="211" w:line="189" w:lineRule="auto"/>
              <w:ind w:left="679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7"/>
                <w:sz w:val="28"/>
                <w:szCs w:val="28"/>
              </w:rPr>
              <w:t>展会面积</w:t>
            </w:r>
          </w:p>
        </w:tc>
      </w:tr>
      <w:tr w14:paraId="3AE980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  <w:jc w:val="center"/>
        </w:trPr>
        <w:tc>
          <w:tcPr>
            <w:tcW w:w="2412" w:type="dxa"/>
            <w:vAlign w:val="center"/>
          </w:tcPr>
          <w:p w14:paraId="1D81DCAE">
            <w:pPr>
              <w:spacing w:before="227" w:line="214" w:lineRule="auto"/>
              <w:ind w:left="826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8"/>
                <w:sz w:val="28"/>
                <w:szCs w:val="28"/>
                <w:lang w:val="en-US" w:eastAsia="zh-CN"/>
              </w:rPr>
              <w:t>300</w:t>
            </w:r>
            <w:r>
              <w:rPr>
                <w:rFonts w:ascii="微软雅黑" w:hAnsi="微软雅黑" w:eastAsia="微软雅黑" w:cs="微软雅黑"/>
                <w:spacing w:val="-8"/>
                <w:sz w:val="28"/>
                <w:szCs w:val="28"/>
              </w:rPr>
              <w:t>+</w:t>
            </w:r>
          </w:p>
        </w:tc>
        <w:tc>
          <w:tcPr>
            <w:tcW w:w="2432" w:type="dxa"/>
            <w:vAlign w:val="center"/>
          </w:tcPr>
          <w:p w14:paraId="56D7D4BE">
            <w:pPr>
              <w:spacing w:before="225" w:line="197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3"/>
                <w:sz w:val="28"/>
                <w:szCs w:val="28"/>
                <w:lang w:val="en-US" w:eastAsia="zh-CN"/>
              </w:rPr>
              <w:t>6</w:t>
            </w:r>
            <w:r>
              <w:rPr>
                <w:rFonts w:ascii="微软雅黑" w:hAnsi="微软雅黑" w:eastAsia="微软雅黑" w:cs="微软雅黑"/>
                <w:spacing w:val="-3"/>
                <w:sz w:val="28"/>
                <w:szCs w:val="28"/>
              </w:rPr>
              <w:t>,000+</w:t>
            </w:r>
          </w:p>
        </w:tc>
        <w:tc>
          <w:tcPr>
            <w:tcW w:w="2419" w:type="dxa"/>
            <w:vAlign w:val="center"/>
          </w:tcPr>
          <w:p w14:paraId="020F25AB">
            <w:pPr>
              <w:spacing w:before="227" w:line="214" w:lineRule="auto"/>
              <w:ind w:left="933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10"/>
                <w:sz w:val="28"/>
                <w:szCs w:val="28"/>
                <w:lang w:val="en-US" w:eastAsia="zh-CN"/>
              </w:rPr>
              <w:t>5</w:t>
            </w:r>
            <w:r>
              <w:rPr>
                <w:rFonts w:ascii="微软雅黑" w:hAnsi="微软雅黑" w:eastAsia="微软雅黑" w:cs="微软雅黑"/>
                <w:color w:val="auto"/>
                <w:spacing w:val="-10"/>
                <w:sz w:val="28"/>
                <w:szCs w:val="28"/>
              </w:rPr>
              <w:t>0+</w:t>
            </w:r>
          </w:p>
        </w:tc>
        <w:tc>
          <w:tcPr>
            <w:tcW w:w="2426" w:type="dxa"/>
            <w:vAlign w:val="center"/>
          </w:tcPr>
          <w:p w14:paraId="546F4734">
            <w:pPr>
              <w:spacing w:before="225" w:line="197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3"/>
                <w:sz w:val="28"/>
                <w:szCs w:val="28"/>
                <w:lang w:val="en-US" w:eastAsia="zh-CN"/>
              </w:rPr>
              <w:t>15</w:t>
            </w:r>
            <w:r>
              <w:rPr>
                <w:rFonts w:ascii="微软雅黑" w:hAnsi="微软雅黑" w:eastAsia="微软雅黑" w:cs="微软雅黑"/>
                <w:color w:val="auto"/>
                <w:spacing w:val="-3"/>
                <w:sz w:val="28"/>
                <w:szCs w:val="28"/>
              </w:rPr>
              <w:t>,000+</w:t>
            </w:r>
          </w:p>
        </w:tc>
      </w:tr>
    </w:tbl>
    <w:p w14:paraId="4229AC7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</w:p>
    <w:p w14:paraId="615686E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市场机遇</w:t>
      </w:r>
    </w:p>
    <w:p w14:paraId="0CE2CA2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baseline"/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6480175" cy="2879725"/>
            <wp:effectExtent l="0" t="0" r="15875" b="15875"/>
            <wp:docPr id="5" name="http://photo-static-api.fotomore.com/creative/vcg/400/new/VCG41N1177095706.jpg?uid=386&amp;timestamp=1711594813&amp;sign=669c23a038007c6019a1e12bdac43d3d" descr="E:/李姗/MIE/2025招展资料/6.18-20 2025年日本能源展招展资料/3ro00519.jpg3ro00519"/>
            <wp:cNvGraphicFramePr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0_sjzg_VCG41N1177095706&quot;,&quot;origin&quot;:0,&quot;type&quot;:&quot;pictures&quot;,&quot;user&quot;:&quot;1558062249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://photo-static-api.fotomore.com/creative/vcg/400/new/VCG41N1177095706.jpg?uid=386&amp;timestamp=1711594813&amp;sign=669c23a038007c6019a1e12bdac43d3d" descr="E:/李姗/MIE/2025招展资料/6.18-20 2025年日本能源展招展资料/3ro00519.jpg3ro00519"/>
                    <pic:cNvPicPr/>
                  </pic:nvPicPr>
                  <pic:blipFill>
                    <a:blip r:embed="rId7"/>
                    <a:srcRect t="16722" b="167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ECFE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ind w:firstLine="560" w:firstLineChars="20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日本政府主要聚焦于能源效率提高、发展可再生能源和氢能、技术创新、国际能源合作和能源安全等，制定绿色增长和能源低碳转型战略及其相关能源政策。日本确定的战略目标是以实现2050年碳中和为基本目标，努力巩固世界能效领先地位，加快能源转型步伐，大力发展可再生能源和氢能，强化技术创新，优化国际能源合作布局，充分利用国内外能源资源，确保国家能源安全。</w:t>
      </w:r>
    </w:p>
    <w:p w14:paraId="3F2A419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ind w:firstLine="560" w:firstLineChars="20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2021年日本出台了《实现绿色转型基本方针》，日本政府在2023年对该方针进行修订，规定重新启动核电站、开发新一代核电机组、支持对氢氨的研究利用、促进能源保障并引进可再生能源等一系列能源转型措施。同时，法案也引入了辅助绿色转型的经济措施，包括10年内发行20万亿日元的绿色转型债券、促进超150万亿日元的公共和私人绿色转型投资，还有对碳排放收费的“碳定价”措施。2023年8月，日本经济产业省、环境省等相关政府部门在绿色转型实施会议上表明，将利用绿色转型国债募集总额超过1.2万亿日元资金，用以支持对氢能生产利用和下一代核电机组研发的投资。</w:t>
      </w:r>
    </w:p>
    <w:p w14:paraId="6A92E82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ind w:firstLine="560" w:firstLineChars="20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日本《氢能基本战略》提出，到2040年，日本氢用量将增长6倍，达到1200万吨，同时公共和私营部门也将在未来15年合计投资15万亿日元以推广氢能应用。日本政府也计划将氢能打造为支柱产业，并以此为基础向海外扩张。日本政府2023年通过的《核能基本法》修正案提出国家有责任采取必要措施，通过核能确保稳定的电力供应，同时还批准了将核电机组运行期限提高至60年的法案。</w:t>
      </w:r>
    </w:p>
    <w:p w14:paraId="3245EB9E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ind w:firstLine="560" w:firstLineChars="20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日本高度注重节能提效的示范效应，鼓励和支持企业实现商业化节能，积极引导企业在国际市场上推广和普及节能技术。根据2020-2030年期间人口规模减少0.6%、GDP年均增长1.7%等假设条件，日本政府提出了如下战略目标：2030年，计划将能源消费总量控制在3.50亿千升标准油，节能总量达到6200万千升标准油。电力消费需求控制在8640亿千瓦时，比2013年实际电力消费需求（9896亿千瓦时）减少12.69%。预计总发电量达到9340亿千瓦时，比节能前计划发电量（1.092万亿千瓦时）减少21%。</w:t>
      </w:r>
    </w:p>
    <w:p w14:paraId="3599C4D9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ind w:firstLine="560" w:firstLineChars="20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日本政府确定阶段性的技术创新战略路径，在2030年以实现大规模降低温室气体排放为目标，重点推进节能、光伏、核电和储能等技术研发，到2050年以实现碳中和为目标，重点突破海上风电、氢-氨燃料、碳循环等颠覆性创新技术。</w:t>
      </w:r>
    </w:p>
    <w:p w14:paraId="4C71546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参展范围</w:t>
      </w:r>
    </w:p>
    <w:p w14:paraId="388E4F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6480175" cy="2879725"/>
            <wp:effectExtent l="0" t="0" r="15875" b="15875"/>
            <wp:docPr id="6" name="http://photo-static-api.fotomore.com/creative/vcg/400/new/VCG41N1355121016.jpg?uid=386&amp;timestamp=1711594911&amp;sign=fd7e454b36e80ac71ad8a955a038bb5f" descr="E:/李姗/MIE/2025招展资料/6.18-20 2025年日本能源展招展资料/3ro00530.jpg3ro00530"/>
            <wp:cNvGraphicFramePr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0_sjzg_VCG41N1355121016&quot;,&quot;origin&quot;:0,&quot;type&quot;:&quot;pictures&quot;,&quot;user&quot;:&quot;1558062249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ttp://photo-static-api.fotomore.com/creative/vcg/400/new/VCG41N1355121016.jpg?uid=386&amp;timestamp=1711594911&amp;sign=fd7e454b36e80ac71ad8a955a038bb5f" descr="E:/李姗/MIE/2025招展资料/6.18-20 2025年日本能源展招展资料/3ro00530.jpg3ro00530"/>
                    <pic:cNvPicPr/>
                  </pic:nvPicPr>
                  <pic:blipFill>
                    <a:blip r:embed="rId8"/>
                    <a:srcRect l="-147" t="10999" r="147" b="2244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500FE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  <w:t>天然气及液化天然气</w:t>
      </w:r>
    </w:p>
    <w:p w14:paraId="392E8547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• LNG 储运设备 LNG 物流运输设备、LNG 运输槽车储罐、LNG 车船燃料气瓶、移动式 LNG 加注车载储罐、LNG 装卸系统、LNG 特种车辆、低温特种钢材、接收站及液化工厂储运设备、防腐及保温材料、汽车绝热存储及工程机械等；</w:t>
      </w:r>
    </w:p>
    <w:p w14:paraId="7305319B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• 液化天然气净化、液化、汽化工艺设备液化天然气气化站用设备、天然气液化装置、LNG 制冷设备、 LNG/CNG 流体分离设备、低温热交换设备、撬装站场设备、气体生产及加工技</w:t>
      </w:r>
      <w:bookmarkStart w:id="0" w:name="_GoBack"/>
      <w:bookmarkEnd w:id="0"/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术、液化深冷技术、脱硫脱磷工艺技术、差压能膨胀液化技术、冷剂压缩机技术等；</w:t>
      </w:r>
    </w:p>
    <w:p w14:paraId="19FB831B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• 天然气动力设备及仪器仪表天然气发动机组、LNG 重卡、LNG 车船用发动机、压缩机动力设备、低温泵动力设备、高压管线阀门、低温阀门、流量仪、检漏仪、探测仪、分析仪及监控设备、燃气及蒸汽透平、变频器、低温 BOG 压缩机等；</w:t>
      </w:r>
    </w:p>
    <w:p w14:paraId="37A382F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• 液化天然气工程建设、施工设计液化工厂设计建造单位、LNG 接收站、LNG/CNG 加气站等设计施工建造企业及设备供应商、智能 LNG 战场设计、接收站场防腐解决方案、地下/半地下储罐设计、LNG 气化器（ORV、SCV、IFV、 AAV）技术等；</w:t>
      </w:r>
    </w:p>
    <w:p w14:paraId="4FB69970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="微软雅黑" w:hAnsi="微软雅黑" w:eastAsia="微软雅黑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auto"/>
          <w:sz w:val="28"/>
          <w:szCs w:val="28"/>
          <w:lang w:val="en-US" w:eastAsia="zh-CN"/>
        </w:rPr>
        <w:t>氢能</w:t>
      </w:r>
    </w:p>
    <w:p w14:paraId="25E9B3D0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• 制氢设备：氢气制造设备/技术、分子筛、制氢机、可再生（生物）资源制氢设备、天然气制氢设备、氢气压缩设备等；</w:t>
      </w:r>
    </w:p>
    <w:p w14:paraId="19D0C84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• 氢气供电设备：氢气工业发电机及发电机组、氢气发电转换相关设备及氢发电相关设备等；</w:t>
      </w:r>
    </w:p>
    <w:p w14:paraId="09107E8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• 氢低温液化和压缩设备：低温液化设备、低温泵、低温阀门、压缩机、净化装置、压缩机撬、膨胀机与液化装置、储存净化器、冷箱换热器等；</w:t>
      </w:r>
    </w:p>
    <w:p w14:paraId="49C78669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• 加氢设备：加氢反应釜、高压罐/瓶、高压换热器、高压分离器、加氢脱硫装置、氢气车载运输瓶组、氢气计量装置、氢气压缩系统、氢气储存系统、售气系统、控制系统等；加气机、:加氢枪，液压胶管、氢气专用加气车检测专用车辆加气站等、氢气加注站设备、氢气加注机主体及配套设施零部件、加气站建设及加气站设备其他氢气相关设备类等；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br w:type="textWrapping"/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• 氢气储运设备：储氢槽/储氢罐，氢气感应器，分配器，储氢合金，储氢相关材料，氢气站设施、加氢、脱氢设施、输氢管线、泵、阀，特种运输车辆等；相关设备：气体涡轮/蒸汽涡轮，变频器/变流器等；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br w:type="textWrapping"/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• 氢燃料汽车：氢燃料电池汽车、客车、氢气减压器、减压阀、压力开关、循环泵、分析仪、传感器、流量计、仪器仪表等；</w:t>
      </w:r>
    </w:p>
    <w:p w14:paraId="776F8DF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• 氢燃料电池设备：氢气燃料电池系统与制品、氢内燃机、电池侧射设备；</w:t>
      </w:r>
    </w:p>
    <w:p w14:paraId="501C3FF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• 工业气体相关仪器仪表：相关气体纯度检测仪器仪表、电子负载仪器，氢器传感器，气体分析设备，材料测验仪器等；</w:t>
      </w:r>
    </w:p>
    <w:p w14:paraId="5A2EC259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  <w:t>氨能</w:t>
      </w:r>
    </w:p>
    <w:p w14:paraId="49A884D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 xml:space="preserve">• 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8"/>
          <w:szCs w:val="28"/>
          <w:shd w:val="clear" w:fill="FFFFFF"/>
        </w:rPr>
        <w:t>氨燃料发动机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8"/>
          <w:szCs w:val="28"/>
          <w:shd w:val="clear" w:fill="FFFFFF"/>
          <w:lang w:eastAsia="zh-CN"/>
        </w:rPr>
        <w:t>、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8"/>
          <w:szCs w:val="28"/>
          <w:shd w:val="clear" w:fill="FFFFFF"/>
        </w:rPr>
        <w:t>氨燃料发动机零部件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8"/>
          <w:szCs w:val="28"/>
          <w:shd w:val="clear" w:fill="FFFFFF"/>
          <w:lang w:eastAsia="zh-CN"/>
        </w:rPr>
        <w:t>（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8"/>
          <w:szCs w:val="28"/>
          <w:shd w:val="clear" w:fill="FFFFFF"/>
        </w:rPr>
        <w:t>如耐氨腐蚀气阀、尾气处理装置等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8"/>
          <w:szCs w:val="28"/>
          <w:shd w:val="clear" w:fill="FFFFFF"/>
          <w:lang w:eastAsia="zh-CN"/>
        </w:rPr>
        <w:t>）、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8"/>
          <w:szCs w:val="28"/>
          <w:shd w:val="clear" w:fill="FFFFFF"/>
        </w:rPr>
        <w:t>氨燃料电池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8"/>
          <w:szCs w:val="28"/>
          <w:shd w:val="clear" w:fill="FFFFFF"/>
          <w:lang w:eastAsia="zh-CN"/>
        </w:rPr>
        <w:t>、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8"/>
          <w:szCs w:val="28"/>
          <w:shd w:val="clear" w:fill="FFFFFF"/>
        </w:rPr>
        <w:t>纯氨燃烧器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8"/>
          <w:szCs w:val="28"/>
          <w:shd w:val="clear" w:fill="FFFFFF"/>
          <w:lang w:eastAsia="zh-CN"/>
        </w:rPr>
        <w:t>、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8"/>
          <w:szCs w:val="28"/>
          <w:shd w:val="clear" w:fill="FFFFFF"/>
        </w:rPr>
        <w:t>氨氢燃烧器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8"/>
          <w:szCs w:val="28"/>
          <w:shd w:val="clear" w:fill="FFFFFF"/>
          <w:lang w:eastAsia="zh-CN"/>
        </w:rPr>
        <w:t>、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8"/>
          <w:szCs w:val="28"/>
          <w:shd w:val="clear" w:fill="FFFFFF"/>
        </w:rPr>
        <w:t>氨储能系统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8"/>
          <w:szCs w:val="28"/>
          <w:shd w:val="clear" w:fill="FFFFFF"/>
          <w:lang w:eastAsia="zh-CN"/>
        </w:rPr>
        <w:t>、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8"/>
          <w:szCs w:val="28"/>
          <w:shd w:val="clear" w:fill="FFFFFF"/>
        </w:rPr>
        <w:t>液氨储罐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8"/>
          <w:szCs w:val="28"/>
          <w:shd w:val="clear" w:fill="FFFFFF"/>
          <w:lang w:eastAsia="zh-CN"/>
        </w:rPr>
        <w:t>、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8"/>
          <w:szCs w:val="28"/>
          <w:shd w:val="clear" w:fill="FFFFFF"/>
        </w:rPr>
        <w:t>氨运输槽罐车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8"/>
          <w:szCs w:val="28"/>
          <w:shd w:val="clear" w:fill="FFFFFF"/>
          <w:lang w:eastAsia="zh-CN"/>
        </w:rPr>
        <w:t>、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8"/>
          <w:szCs w:val="28"/>
          <w:shd w:val="clear" w:fill="FFFFFF"/>
        </w:rPr>
        <w:t>氨运输管道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8"/>
          <w:szCs w:val="28"/>
          <w:shd w:val="clear" w:fill="FFFFFF"/>
          <w:lang w:eastAsia="zh-CN"/>
        </w:rPr>
        <w:t>、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8"/>
          <w:szCs w:val="28"/>
          <w:shd w:val="clear" w:fill="FFFFFF"/>
        </w:rPr>
        <w:t>氨泄漏检测仪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8"/>
          <w:szCs w:val="28"/>
          <w:shd w:val="clear" w:fill="FFFFFF"/>
          <w:lang w:eastAsia="zh-CN"/>
        </w:rPr>
        <w:t>、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8"/>
          <w:szCs w:val="28"/>
          <w:shd w:val="clear" w:fill="FFFFFF"/>
        </w:rPr>
        <w:t>氨浓度分析仪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8"/>
          <w:szCs w:val="28"/>
          <w:shd w:val="clear" w:fill="FFFFFF"/>
          <w:lang w:eastAsia="zh-CN"/>
        </w:rPr>
        <w:t>、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8"/>
          <w:szCs w:val="28"/>
          <w:shd w:val="clear" w:fill="FFFFFF"/>
        </w:rPr>
        <w:t>燃烧监测设备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8"/>
          <w:szCs w:val="28"/>
          <w:shd w:val="clear" w:fill="FFFFFF"/>
          <w:lang w:val="en-US" w:eastAsia="zh-CN"/>
        </w:rPr>
        <w:t>等；</w:t>
      </w:r>
    </w:p>
    <w:p w14:paraId="22EC6582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="微软雅黑" w:hAnsi="微软雅黑" w:eastAsia="微软雅黑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auto"/>
          <w:sz w:val="28"/>
          <w:szCs w:val="28"/>
          <w:lang w:val="en-US" w:eastAsia="zh-CN"/>
        </w:rPr>
        <w:t>可再生能源</w:t>
      </w:r>
    </w:p>
    <w:p w14:paraId="1ACEBCB9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default" w:ascii="微软雅黑" w:hAnsi="微软雅黑" w:eastAsia="微软雅黑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• 可再生能源（风能、太阳能、地热能、水能、生物质能源）、可提取能源技术和可再生热能源（生物燃料、稻草、柴火炉、地热热源）、可再生能源技术、储存能源和节能技术、太阳能收集装置、散热装置、生物燃料炉、生物燃料车；</w:t>
      </w:r>
    </w:p>
    <w:p w14:paraId="0683AA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 w:ascii="微软雅黑" w:hAnsi="微软雅黑" w:eastAsia="微软雅黑"/>
          <w:b/>
          <w:bCs/>
          <w:kern w:val="0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kern w:val="0"/>
          <w:sz w:val="28"/>
          <w:szCs w:val="28"/>
        </w:rPr>
        <w:t>人工智能与数字化</w:t>
      </w:r>
    </w:p>
    <w:p w14:paraId="2145DD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 w:ascii="微软雅黑" w:hAnsi="微软雅黑" w:eastAsia="微软雅黑"/>
          <w:kern w:val="0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 xml:space="preserve">• </w:t>
      </w:r>
      <w:r>
        <w:rPr>
          <w:rFonts w:hint="eastAsia" w:ascii="微软雅黑" w:hAnsi="微软雅黑" w:eastAsia="微软雅黑"/>
          <w:kern w:val="0"/>
          <w:sz w:val="28"/>
          <w:szCs w:val="28"/>
          <w:lang w:eastAsia="zh-CN"/>
        </w:rPr>
        <w:t>智能芯片、智能传感器、云计算、数据类服务、边缘计算、5G通信、机器学习、计算机视觉、智能语音、生物特征识别、自然语言处理、VR/AR、智能机器人、智能运载工具、智能终端、智慧制造、智慧医疗、智慧交通、智慧金融、智能家居、智慧教育、智慧安防等；</w:t>
      </w:r>
    </w:p>
    <w:p w14:paraId="379CE88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="微软雅黑" w:hAnsi="微软雅黑" w:eastAsia="微软雅黑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auto"/>
          <w:sz w:val="28"/>
          <w:szCs w:val="28"/>
          <w:lang w:val="en-US" w:eastAsia="zh-CN"/>
        </w:rPr>
        <w:t>低碳解决方案、港口与运输</w:t>
      </w:r>
    </w:p>
    <w:p w14:paraId="166071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 w:ascii="微软雅黑" w:hAnsi="微软雅黑" w:eastAsia="微软雅黑"/>
          <w:kern w:val="0"/>
          <w:sz w:val="28"/>
          <w:szCs w:val="28"/>
          <w:lang w:eastAsia="zh-CN"/>
        </w:rPr>
      </w:pPr>
    </w:p>
    <w:p w14:paraId="23C3AD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default" w:ascii="微软雅黑" w:hAnsi="微软雅黑" w:eastAsia="微软雅黑" w:cs="宋体"/>
          <w:kern w:val="0"/>
          <w:sz w:val="28"/>
          <w:szCs w:val="28"/>
          <w:lang w:val="en-US" w:eastAsia="zh-CN"/>
        </w:rPr>
      </w:pPr>
    </w:p>
    <w:sectPr>
      <w:pgSz w:w="11906" w:h="16838"/>
      <w:pgMar w:top="567" w:right="850" w:bottom="567" w:left="85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596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wNzVkOTE3YTA0ZDRmNzM4NzBiMTY2MmVkMWZmMGMifQ=="/>
  </w:docVars>
  <w:rsids>
    <w:rsidRoot w:val="00000000"/>
    <w:rsid w:val="000C3512"/>
    <w:rsid w:val="01A705E6"/>
    <w:rsid w:val="02AF1DD6"/>
    <w:rsid w:val="03AE5181"/>
    <w:rsid w:val="04FD5827"/>
    <w:rsid w:val="053A46C1"/>
    <w:rsid w:val="05726DA2"/>
    <w:rsid w:val="064B0C80"/>
    <w:rsid w:val="096C1B81"/>
    <w:rsid w:val="09CF085B"/>
    <w:rsid w:val="0A6006F4"/>
    <w:rsid w:val="0A65095D"/>
    <w:rsid w:val="0B365CE9"/>
    <w:rsid w:val="0C183B2E"/>
    <w:rsid w:val="0F2C7498"/>
    <w:rsid w:val="0F5C1AA1"/>
    <w:rsid w:val="0F8E55A4"/>
    <w:rsid w:val="101E1709"/>
    <w:rsid w:val="11084FB0"/>
    <w:rsid w:val="11925DD9"/>
    <w:rsid w:val="122A72D8"/>
    <w:rsid w:val="14077076"/>
    <w:rsid w:val="15112FB1"/>
    <w:rsid w:val="17C91FBD"/>
    <w:rsid w:val="18F87996"/>
    <w:rsid w:val="19936651"/>
    <w:rsid w:val="1AD71C61"/>
    <w:rsid w:val="1C6B34EC"/>
    <w:rsid w:val="1D1A3FED"/>
    <w:rsid w:val="20FF58A6"/>
    <w:rsid w:val="217B5F5F"/>
    <w:rsid w:val="21DB0CE2"/>
    <w:rsid w:val="23B12FC8"/>
    <w:rsid w:val="23EB6D5B"/>
    <w:rsid w:val="247E4590"/>
    <w:rsid w:val="25DE76A8"/>
    <w:rsid w:val="29C27101"/>
    <w:rsid w:val="2A8F34E6"/>
    <w:rsid w:val="310223B3"/>
    <w:rsid w:val="350F6AC3"/>
    <w:rsid w:val="383A3B26"/>
    <w:rsid w:val="39DA08C9"/>
    <w:rsid w:val="3CDF513E"/>
    <w:rsid w:val="4024057B"/>
    <w:rsid w:val="4084115C"/>
    <w:rsid w:val="421F3775"/>
    <w:rsid w:val="423170C2"/>
    <w:rsid w:val="437F7F5B"/>
    <w:rsid w:val="442C5396"/>
    <w:rsid w:val="442F0DBC"/>
    <w:rsid w:val="45340519"/>
    <w:rsid w:val="45C866FF"/>
    <w:rsid w:val="4887204A"/>
    <w:rsid w:val="497F2993"/>
    <w:rsid w:val="49990697"/>
    <w:rsid w:val="4AA97882"/>
    <w:rsid w:val="4EF86AAA"/>
    <w:rsid w:val="4F064393"/>
    <w:rsid w:val="4FE87012"/>
    <w:rsid w:val="50386358"/>
    <w:rsid w:val="51491824"/>
    <w:rsid w:val="53CA6A5F"/>
    <w:rsid w:val="53F8359B"/>
    <w:rsid w:val="56822CAD"/>
    <w:rsid w:val="56CC6DB6"/>
    <w:rsid w:val="57192812"/>
    <w:rsid w:val="58F53702"/>
    <w:rsid w:val="59B86A9F"/>
    <w:rsid w:val="59E507F0"/>
    <w:rsid w:val="5AE07320"/>
    <w:rsid w:val="5C1653F4"/>
    <w:rsid w:val="5C412695"/>
    <w:rsid w:val="5C4B34E0"/>
    <w:rsid w:val="5C970FB3"/>
    <w:rsid w:val="5D5F32BF"/>
    <w:rsid w:val="5E007B96"/>
    <w:rsid w:val="60C507AD"/>
    <w:rsid w:val="60E750C3"/>
    <w:rsid w:val="6145156F"/>
    <w:rsid w:val="61CB6485"/>
    <w:rsid w:val="62806114"/>
    <w:rsid w:val="65F362B8"/>
    <w:rsid w:val="67DD4B2A"/>
    <w:rsid w:val="683242A3"/>
    <w:rsid w:val="68991CCA"/>
    <w:rsid w:val="6A365CE0"/>
    <w:rsid w:val="6B5675BF"/>
    <w:rsid w:val="6CF81AE3"/>
    <w:rsid w:val="6CF941B4"/>
    <w:rsid w:val="6DC04C15"/>
    <w:rsid w:val="6FD967A8"/>
    <w:rsid w:val="700A27C3"/>
    <w:rsid w:val="703F2826"/>
    <w:rsid w:val="70523351"/>
    <w:rsid w:val="712B01E1"/>
    <w:rsid w:val="72283F71"/>
    <w:rsid w:val="72D36A71"/>
    <w:rsid w:val="732E1154"/>
    <w:rsid w:val="7441794C"/>
    <w:rsid w:val="74C30200"/>
    <w:rsid w:val="76422D7F"/>
    <w:rsid w:val="76FD2C98"/>
    <w:rsid w:val="79213C3F"/>
    <w:rsid w:val="7BF04FE0"/>
    <w:rsid w:val="7C8820A3"/>
    <w:rsid w:val="7EAB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微软雅黑" w:hAnsi="微软雅黑" w:eastAsia="微软雅黑" w:cs="微软雅黑"/>
      <w:sz w:val="21"/>
      <w:szCs w:val="21"/>
      <w:lang w:val="en-US" w:eastAsia="en-US" w:bidi="ar-SA"/>
    </w:rPr>
  </w:style>
  <w:style w:type="paragraph" w:styleId="3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autoRedefine/>
    <w:qFormat/>
    <w:uiPriority w:val="0"/>
    <w:rPr>
      <w:b/>
    </w:rPr>
  </w:style>
  <w:style w:type="table" w:customStyle="1" w:styleId="7">
    <w:name w:val="Table Normal1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2372</Words>
  <Characters>2556</Characters>
  <Lines>0</Lines>
  <Paragraphs>0</Paragraphs>
  <TotalTime>32</TotalTime>
  <ScaleCrop>false</ScaleCrop>
  <LinksUpToDate>false</LinksUpToDate>
  <CharactersWithSpaces>2619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2023-09-28T00:45:00Z</dcterms:created>
  <dc:creator>admin</dc:creator>
  <cp:lastModifiedBy>GH</cp:lastModifiedBy>
  <dcterms:modified xsi:type="dcterms:W3CDTF">2024-10-14T05:37:01Z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E07BDCFDA12946F98230C12615E8B97A_13</vt:lpwstr>
  </property>
</Properties>
</file>