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D3727A">
      <w:pPr>
        <w:jc w:val="center"/>
        <w:rPr>
          <w:rFonts w:hint="eastAsia" w:eastAsia="宋体"/>
          <w:lang w:eastAsia="zh-CN"/>
        </w:rPr>
      </w:pPr>
    </w:p>
    <w:p w14:paraId="6EFC1B49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drawing>
          <wp:inline distT="0" distB="0" distL="114300" distR="114300">
            <wp:extent cx="6479540" cy="2879725"/>
            <wp:effectExtent l="0" t="0" r="16510" b="15875"/>
            <wp:docPr id="1" name="图片 1" descr="E:/李姗/MIE/公司logo/沙特五大banner2.0.jpg沙特五大banner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公司logo/沙特五大banner2.0.jpg沙特五大banner2.0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val="en-US" w:eastAsia="zh-CN"/>
        </w:rPr>
        <w:t>2025年</w:t>
      </w:r>
      <w:r>
        <w:rPr>
          <w:rFonts w:hint="eastAsia" w:ascii="微软雅黑" w:hAnsi="微软雅黑" w:eastAsia="微软雅黑"/>
          <w:b/>
          <w:bCs/>
          <w:kern w:val="0"/>
          <w:sz w:val="72"/>
          <w:szCs w:val="72"/>
          <w:lang w:val="en-US" w:eastAsia="zh-CN"/>
        </w:rPr>
        <w:t>全球能源转型博览会</w:t>
      </w:r>
    </w:p>
    <w:p w14:paraId="1B83DB3B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drawing>
          <wp:inline distT="0" distB="0" distL="114300" distR="114300">
            <wp:extent cx="3048000" cy="1104900"/>
            <wp:effectExtent l="0" t="0" r="0" b="0"/>
            <wp:docPr id="5" name="Picture 5" descr="get-logo-nyc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et-logo-nyc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E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 w14:paraId="7FA36313">
      <w:pPr>
        <w:pStyle w:val="2"/>
        <w:keepNext w:val="0"/>
        <w:keepLines w:val="0"/>
        <w:pageBreakBefore w:val="0"/>
        <w:widowControl w:val="0"/>
        <w:tabs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5</w:t>
      </w:r>
      <w:r>
        <w:rPr>
          <w:b/>
          <w:bCs/>
          <w:color w:val="050E17"/>
          <w:spacing w:val="9"/>
          <w:sz w:val="28"/>
          <w:szCs w:val="28"/>
        </w:rPr>
        <w:t>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7</w:t>
      </w:r>
      <w:r>
        <w:rPr>
          <w:b/>
          <w:bCs/>
          <w:color w:val="050E17"/>
          <w:spacing w:val="9"/>
          <w:sz w:val="28"/>
          <w:szCs w:val="28"/>
        </w:rPr>
        <w:t>月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21-23日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展会地点：纽约贾维茨会展中心</w:t>
      </w:r>
    </w:p>
    <w:p w14:paraId="1995DDCC">
      <w:pPr>
        <w:pStyle w:val="2"/>
        <w:keepNext w:val="0"/>
        <w:keepLines w:val="0"/>
        <w:pageBreakBefore w:val="0"/>
        <w:widowControl w:val="0"/>
        <w:tabs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DMG  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展会类型：能源环保</w:t>
      </w:r>
    </w:p>
    <w:p w14:paraId="0A0FE865">
      <w:pPr>
        <w:pStyle w:val="2"/>
        <w:keepNext w:val="0"/>
        <w:keepLines w:val="0"/>
        <w:pageBreakBefore w:val="0"/>
        <w:widowControl w:val="0"/>
        <w:tabs>
          <w:tab w:val="righ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/>
          <w:szCs w:val="21"/>
        </w:rPr>
      </w:pPr>
      <w:r>
        <w:rPr>
          <w:position w:val="-61"/>
        </w:rPr>
        <w:drawing>
          <wp:inline distT="0" distB="0" distL="0" distR="0">
            <wp:extent cx="6414135" cy="2879725"/>
            <wp:effectExtent l="0" t="0" r="5715" b="15875"/>
            <wp:docPr id="6" name="IM 6" descr="C:\Users\mie\Desktop\啊.jpg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mie\Desktop\啊.jpg啊"/>
                    <pic:cNvPicPr>
                      <a:picLocks noChangeAspect="1"/>
                    </pic:cNvPicPr>
                  </pic:nvPicPr>
                  <pic:blipFill>
                    <a:blip r:embed="rId6"/>
                    <a:srcRect t="16330" b="16330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8F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全球能源转型博览会（GET）是唯一一个连接低碳能源，构建生态系统的全球性展会，加速能源转型并带来健康生态市场，也是一个交流思想、建立伙伴关系和推动全球能源转型的平台，将承诺转化为行动，为所有人创造一个更加可持续和低碳的未来。除了为探索低碳能源解决方案创造机会外，GET还强调了对难以消减的行业进行脱碳的迫切需要，如水泥、钢铁、化工、采矿和重型运输等，所有这些行业都对全球供应链至关重要，是各行业交汇并建立可带来真正变革转型伙伴关系的关键集会。</w:t>
      </w:r>
    </w:p>
    <w:p w14:paraId="199BDB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</w:rPr>
        <w:t>202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sz w:val="28"/>
          <w:szCs w:val="28"/>
        </w:rPr>
        <w:t>年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7月21-23日，全球能源转型博览会</w:t>
      </w:r>
      <w:r>
        <w:rPr>
          <w:rFonts w:hint="eastAsia" w:ascii="微软雅黑" w:hAnsi="微软雅黑" w:eastAsia="微软雅黑"/>
          <w:sz w:val="28"/>
          <w:szCs w:val="28"/>
        </w:rPr>
        <w:t>将在纽约贾维茨会展中心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盛大</w:t>
      </w:r>
      <w:r>
        <w:rPr>
          <w:rFonts w:hint="eastAsia" w:ascii="微软雅黑" w:hAnsi="微软雅黑" w:eastAsia="微软雅黑"/>
          <w:sz w:val="28"/>
          <w:szCs w:val="28"/>
        </w:rPr>
        <w:t>举办，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届时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将有来自120多个国家的250多家展商参展，参展观众超过15,000人，展会面积超过6,000平方米</w:t>
      </w:r>
      <w:r>
        <w:rPr>
          <w:rFonts w:hint="eastAsia" w:ascii="微软雅黑" w:hAnsi="微软雅黑" w:eastAsia="微软雅黑"/>
          <w:sz w:val="28"/>
          <w:szCs w:val="28"/>
        </w:rPr>
        <w:t>。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展会同期还将有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300位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部长和首席执行官就就能源行业前景和现状进行探讨演讲。抓住这个机会，GET会让企业有能力展示产品和解决方案，以推动我们实现净零未来。</w:t>
      </w:r>
    </w:p>
    <w:tbl>
      <w:tblPr>
        <w:tblStyle w:val="9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 w14:paraId="18D32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center"/>
          </w:tcPr>
          <w:p w14:paraId="4456701B"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center"/>
          </w:tcPr>
          <w:p w14:paraId="29594FB9"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center"/>
          </w:tcPr>
          <w:p w14:paraId="6EB42243"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center"/>
          </w:tcPr>
          <w:p w14:paraId="57553FA6"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 w14:paraId="5A7C0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center"/>
          </w:tcPr>
          <w:p w14:paraId="3882D106"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250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center"/>
          </w:tcPr>
          <w:p w14:paraId="00B5D374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15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center"/>
          </w:tcPr>
          <w:p w14:paraId="118FD285"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120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center"/>
          </w:tcPr>
          <w:p w14:paraId="1A501BCB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6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 w14:paraId="4DE7FB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481777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 w14:paraId="3D4819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position w:val="-71"/>
        </w:rPr>
        <w:drawing>
          <wp:inline distT="0" distB="0" distL="0" distR="0">
            <wp:extent cx="6318250" cy="2879725"/>
            <wp:effectExtent l="0" t="0" r="6350" b="15875"/>
            <wp:docPr id="8" name="IM 8" descr="C:\Users\mie\Desktop\啊啊啊啊.jpg啊啊啊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\Users\mie\Desktop\啊啊啊啊.jpg啊啊啊啊"/>
                    <pic:cNvPicPr>
                      <a:picLocks noChangeAspect="1"/>
                    </pic:cNvPicPr>
                  </pic:nvPicPr>
                  <pic:blipFill>
                    <a:blip r:embed="rId7"/>
                    <a:srcRect t="15819" b="15819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F9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28"/>
          <w:szCs w:val="28"/>
          <w:lang w:val="en-US" w:eastAsia="zh-CN"/>
        </w:rPr>
        <w:t>作为世界上最大的能源消费国，美国的能源转型体现了对政治动荡的更强的抵御能力，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shd w:val="clear" w:fill="FFFFFF"/>
          <w:lang w:val="en-US" w:eastAsia="zh-CN" w:bidi="ar"/>
        </w:rPr>
        <w:t>其能源结构的转型一直备受关注。</w:t>
      </w:r>
      <w:r>
        <w:rPr>
          <w:rFonts w:hint="eastAsia" w:ascii="微软雅黑" w:hAnsi="微软雅黑" w:eastAsia="微软雅黑"/>
          <w:color w:val="auto"/>
          <w:sz w:val="28"/>
          <w:szCs w:val="28"/>
          <w:shd w:val="clear" w:fill="FFFFFF"/>
          <w:lang w:val="en-US" w:eastAsia="zh-CN"/>
        </w:rPr>
        <w:t>由于全球对环境保护和可持续发展的关注与日俱增，可再生能源在美国的重要性与日俱增，主要是</w:t>
      </w:r>
      <w:r>
        <w:rPr>
          <w:rFonts w:hint="eastAsia" w:ascii="微软雅黑" w:hAnsi="微软雅黑" w:eastAsia="微软雅黑"/>
          <w:color w:val="auto"/>
          <w:sz w:val="28"/>
          <w:szCs w:val="28"/>
          <w:lang w:val="en-US" w:eastAsia="zh-CN"/>
        </w:rPr>
        <w:t>在传统石油和天然气支持的基础上，转向以清洁发展为导向的多元化可再生能源供应模式。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</w:rPr>
        <w:t>重返《巴黎协定》后，拜登政府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又进一步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</w:rPr>
        <w:t>提出“35-50”气候治理长期目标，即到2035年实现无碳发电，到2050年实现净零排放，为美国能源转型按下“加速键”。</w:t>
      </w:r>
    </w:p>
    <w:p w14:paraId="06D2B552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美国能源转型特征</w:t>
      </w:r>
    </w:p>
    <w:p w14:paraId="04A17BF7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 w:bidi="ar"/>
        </w:rPr>
        <w:t>在过去几十年里，太阳能和风能等可再生能源逐渐成为美国的主流能源。政府、企业和社会各界对可再生能源的认可和支持不断增加，促进了相关产业的高速发展。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"/>
        </w:rPr>
        <w:t>2023年，美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vertAlign w:val="baseline"/>
          <w:lang w:val="en-US" w:eastAsia="zh-CN" w:bidi="ar"/>
        </w:rPr>
        <w:t>国清洁能源部署在很多方面都创下了纪录，包括太阳能和储能装置安装率的不断攀升、电动汽车销量的增长以及计划在国内设立的制造设施数量的增加。</w:t>
      </w:r>
    </w:p>
    <w:p w14:paraId="405C6D93">
      <w:pPr>
        <w:pStyle w:val="3"/>
        <w:widowControl/>
        <w:shd w:val="clear" w:fill="FFFFFF"/>
        <w:spacing w:before="0" w:beforeAutospacing="0" w:after="270" w:afterAutospacing="0"/>
        <w:ind w:left="0" w:right="0" w:firstLine="560" w:firstLineChars="200"/>
        <w:rPr>
          <w:rFonts w:hint="eastAsia" w:ascii="微软雅黑" w:hAnsi="微软雅黑" w:eastAsia="微软雅黑" w:cs="微软雅黑"/>
          <w:color w:val="auto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fill="FFFFFF"/>
          <w:vertAlign w:val="baseline"/>
          <w:lang w:val="en-US" w:eastAsia="zh-CN" w:bidi="ar"/>
        </w:rPr>
        <w:t>清洁能源继续成为美国新的电力来源的主要形式，2023年太阳能达到了历史新高。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2023年，美国太阳能装机容量达到创纪录的31吉瓦（GW），比2022年增加了约55%，远高于2021年的先前记录。截至2023年第三季度，太阳能占所有新公用事业规模发电量的一半。根据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美国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太阳能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行业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协会的数据，美国的太阳能装机容量目前总计161吉瓦，足以提供全国约5%的电力。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shd w:val="clear" w:fill="FFFFFF"/>
          <w:lang w:eastAsia="zh-CN"/>
        </w:rPr>
        <w:t>这反映了全球进入广泛的清洁能源转型的趋势，也标志着美国能源转型进入关键时刻。</w:t>
      </w:r>
    </w:p>
    <w:p w14:paraId="5910BBE0">
      <w:pPr>
        <w:pStyle w:val="3"/>
        <w:widowControl/>
        <w:shd w:val="clear" w:fill="FFFFFF"/>
        <w:spacing w:before="0" w:beforeAutospacing="0" w:after="270" w:afterAutospacing="0"/>
        <w:ind w:left="0" w:right="0" w:firstLine="560" w:firstLineChars="200"/>
        <w:rPr>
          <w:rFonts w:hint="eastAsia" w:ascii="微软雅黑" w:hAnsi="微软雅黑" w:eastAsia="微软雅黑" w:cs="微软雅黑"/>
          <w:color w:val="auto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shd w:val="clear" w:fill="FFFFFF"/>
          <w:lang w:eastAsia="zh-CN"/>
        </w:rPr>
        <w:t>随着光伏、风电技术的逐渐成熟以及规模经济的效应，其成本正在不断下降，竞争力显著提高。这使得可再生能源在能源生产中变得更加经济实惠，可再生能源在美国能源结构中的比重也不断提升，为美国实现清洁能源转型奠定了坚实的基础。</w:t>
      </w:r>
    </w:p>
    <w:p w14:paraId="4ADCFDF9">
      <w:pPr>
        <w:pStyle w:val="3"/>
        <w:widowControl/>
        <w:shd w:val="clear" w:fill="FFFFFF"/>
        <w:spacing w:before="0" w:beforeAutospacing="0" w:after="270" w:afterAutospacing="0"/>
        <w:ind w:left="0" w:right="0" w:firstLine="560" w:firstLineChars="200"/>
        <w:rPr>
          <w:rFonts w:hint="eastAsia" w:ascii="微软雅黑" w:hAnsi="微软雅黑" w:eastAsia="微软雅黑" w:cs="微软雅黑"/>
          <w:color w:val="auto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28"/>
          <w:szCs w:val="28"/>
          <w:shd w:val="clear" w:fill="FFFFFF"/>
          <w:lang w:val="en-US" w:eastAsia="zh-CN"/>
        </w:rPr>
        <w:t>美国是世界上最大的风能市场之一。截至2023年底，美国各地的风电总装机容量已超过150吉瓦。该国的风力发电发展在很大程度上是通过生产税收抵免来支持的，该抵免允许生产商根据他们通过风能生产的电量获得报酬。在过去几年中，风力发电已成为美国最大的可再生能源，约占该国发电量的9%。2022年，美国风力发电量达到434太瓦时以上的峰值，自21世纪初以来，这一数字一直在稳步增长。2023年，该国的风力发电量约为425太瓦时。预计未来几年，该国的海上风电将大幅增长。预计2024年海上新增容量将达到4.2吉瓦，2025年将达到2吉瓦。预计未来十年的新增装机容量将在2029年达到6.4吉瓦的峰值。对于陆上风电，前景更加光明，未来五年每年新增容量从8.4吉瓦到18.7吉瓦不等。</w:t>
      </w:r>
    </w:p>
    <w:p w14:paraId="2A493037">
      <w:pPr>
        <w:pStyle w:val="3"/>
        <w:widowControl/>
        <w:shd w:val="clear" w:fill="FFFFFF"/>
        <w:ind w:firstLine="560" w:firstLineChars="200"/>
        <w:rPr>
          <w:rFonts w:hint="eastAsia" w:ascii="PingFang SC" w:hAnsi="PingFang SC" w:eastAsia="PingFang SC" w:cs="微软雅黑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shd w:val="clear" w:fill="FFFFFF"/>
          <w:lang w:val="en-US" w:eastAsia="zh-CN"/>
        </w:rPr>
        <w:t>美国电动汽车（EV）销量在2023年创下新纪录。尽管新闻报道强调电动汽车销售放缓，但2023年美国电动汽车销量创纪录地达到120万辆，占汽车总销量的7.6%，高于2022年的5.9%。截至年底，销量持续强劲，第四季度电动汽车销量和份额均创下历史新高，分别为317,168辆电动汽车和占总销量的8.1%，电动汽车销量比2022年第四季度增长了40%。在政府激励措施和消费者环保意识增强的推动下，美国对电动汽车的需求激增。预计2024年，美国电动汽车市场的收入将达到949亿美元。预计其年增长率（2024-2029年复合年增长率）为10.49%，到2029年预计市场容量为1563亿美元。2029年，美国电动汽车市场的单位销量预计将达到232万辆。2024年美国电动汽车市场的销量加权平均价格预计为673万美元。2029年，美国电动汽车市场的单位销量预计将达到232万辆。</w:t>
      </w:r>
    </w:p>
    <w:p w14:paraId="34151C6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政策支持</w:t>
      </w:r>
    </w:p>
    <w:p w14:paraId="59F90D3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6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2022年2月24日，美国能源部（DOE）首次发布了确保能源安全和提高能源独立性的计划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《美国确保供应链安全，实现清洁能源转型战略》的报告列出了数十项关键战略，以建立一个安全、有弹性和多样化的国内能源行业工业基础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从而确立美国在清洁能源制造和创新领域的全球领导者地位。</w:t>
      </w:r>
    </w:p>
    <w:p w14:paraId="4224525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6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</w:rPr>
        <w:t>同年，拜登政府签署《通胀削减法案》，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这是美国历史上最重要的气候法案。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</w:rPr>
        <w:t>涵盖高达7400亿美元的长期营商奖励及税项宽免，其中约3690亿美元补贴支持电动汽车、关键矿物、清洁能源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及发电设施的生产和投资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</w:rPr>
        <w:t>等领域，多维度带动美国清洁能源产业发展。</w:t>
      </w:r>
    </w:p>
    <w:p w14:paraId="3472272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6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</w:rPr>
        <w:t>2023年，美国能源部发布《国家清洁氢能战略路线图》，提出加速清洁氢的生产、处理、交付、存储和应用，预计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2030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年美国清洁氢产量将从当前几乎为零增至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1000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万吨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年，到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2040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年、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2050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年分别增至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2000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万吨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年和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5000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万吨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年。</w:t>
      </w:r>
    </w:p>
    <w:p w14:paraId="6F12E5BB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 w:bidi="ar"/>
        </w:rPr>
        <w:t>明尼苏达州在2023年初采用了100%清洁电力标准。密歇根州</w:t>
      </w:r>
      <w:r>
        <w:rPr>
          <w:rFonts w:hint="eastAsia" w:ascii="微软雅黑" w:hAnsi="微软雅黑" w:eastAsia="微软雅黑" w:cs="微软雅黑"/>
          <w:color w:val="auto"/>
          <w:kern w:val="0"/>
          <w:sz w:val="28"/>
          <w:szCs w:val="28"/>
          <w:lang w:val="en-US" w:eastAsia="zh-CN" w:bidi="ar"/>
        </w:rPr>
        <w:t>立法机构通过了一系列旨在减少碳排放的法案，要求到2040年100%的电力来自清洁能源，这是密歇根州的一个转折点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 w:bidi="ar"/>
        </w:rPr>
        <w:t>，也进一步</w:t>
      </w:r>
      <w:r>
        <w:rPr>
          <w:rFonts w:hint="eastAsia" w:ascii="微软雅黑" w:hAnsi="微软雅黑" w:eastAsia="微软雅黑" w:cs="微软雅黑"/>
          <w:color w:val="auto"/>
          <w:kern w:val="0"/>
          <w:sz w:val="28"/>
          <w:szCs w:val="28"/>
          <w:lang w:val="en-US" w:eastAsia="zh-CN" w:bidi="ar"/>
        </w:rPr>
        <w:t>表明美国中西部乃至全国都在大力发展清洁能源。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 w:bidi="ar"/>
        </w:rPr>
        <w:t>纽约从2026年开始禁止在大多数新建筑中使用化石燃料，而华盛顿则对新建筑中的燃气器具设定了限制。</w:t>
      </w:r>
    </w:p>
    <w:p w14:paraId="1F72DB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参展范围</w:t>
      </w:r>
    </w:p>
    <w:p w14:paraId="77C56A3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282055" cy="3037840"/>
            <wp:effectExtent l="0" t="0" r="4445" b="10160"/>
            <wp:docPr id="17" name="http://photo-static-api.fotomore.com/creative/vcg/400/new/VCG41N1225554942.jpg?uid=386&amp;timestamp=1711523628&amp;sign=25a4757571949dcdbe29eb29402897c7" descr="C:\Users\mie\Desktop\啊啊啊.jpg啊啊啊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225554942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://photo-static-api.fotomore.com/creative/vcg/400/new/VCG41N1225554942.jpg?uid=386&amp;timestamp=1711523628&amp;sign=25a4757571949dcdbe29eb29402897c7" descr="C:\Users\mie\Desktop\啊啊啊.jpg啊啊啊"/>
                    <pic:cNvPicPr>
                      <a:picLocks noChangeAspect="1"/>
                    </pic:cNvPicPr>
                  </pic:nvPicPr>
                  <pic:blipFill>
                    <a:blip r:embed="rId8"/>
                    <a:srcRect t="13737" b="13737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617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能源与能源转型</w:t>
      </w:r>
    </w:p>
    <w:p w14:paraId="5CDE93A7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天然气和液化天然气：</w:t>
      </w:r>
      <w:r>
        <w:rPr>
          <w:rFonts w:hint="eastAsia" w:ascii="微软雅黑" w:hAnsi="微软雅黑" w:eastAsia="微软雅黑" w:cs="微软雅黑"/>
          <w:sz w:val="28"/>
          <w:szCs w:val="28"/>
        </w:rPr>
        <w:t>天然气管道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天然气储罐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液化天然气储罐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液化天然气加注系统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天然气发电机组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天然气处理设备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等；</w:t>
      </w:r>
    </w:p>
    <w:p w14:paraId="428E8AC7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氢气：</w:t>
      </w:r>
      <w:r>
        <w:rPr>
          <w:rFonts w:hint="eastAsia" w:ascii="微软雅黑" w:hAnsi="微软雅黑" w:eastAsia="微软雅黑" w:cs="微软雅黑"/>
          <w:sz w:val="28"/>
          <w:szCs w:val="28"/>
        </w:rPr>
        <w:t>氢气燃料电池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氢气储存设备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（包括</w:t>
      </w:r>
      <w:r>
        <w:rPr>
          <w:rFonts w:hint="eastAsia" w:ascii="微软雅黑" w:hAnsi="微软雅黑" w:eastAsia="微软雅黑" w:cs="微软雅黑"/>
          <w:sz w:val="28"/>
          <w:szCs w:val="28"/>
        </w:rPr>
        <w:t>高压气体罐、液氢储罐和金属氢化物储存系统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）、</w:t>
      </w:r>
      <w:r>
        <w:rPr>
          <w:rFonts w:hint="eastAsia" w:ascii="微软雅黑" w:hAnsi="微软雅黑" w:eastAsia="微软雅黑" w:cs="微软雅黑"/>
          <w:sz w:val="28"/>
          <w:szCs w:val="28"/>
        </w:rPr>
        <w:t>氢气生产设备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</w:rPr>
        <w:t>如电解水装置、蒸汽重整装置等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）、</w:t>
      </w:r>
      <w:r>
        <w:rPr>
          <w:rFonts w:hint="eastAsia" w:ascii="微软雅黑" w:hAnsi="微软雅黑" w:eastAsia="微软雅黑" w:cs="微软雅黑"/>
          <w:sz w:val="28"/>
          <w:szCs w:val="28"/>
        </w:rPr>
        <w:t>氢气传输管道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氢气检测仪器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氢气应用产品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</w:rPr>
        <w:t>如氢气焊接设备、氢气加热器等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）等；</w:t>
      </w:r>
    </w:p>
    <w:p w14:paraId="7D805CE4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核能：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压水堆PWR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沸水堆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BWR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快中子反应堆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铀燃料棒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钚燃料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废料处理容器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废料储存设施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、地质处置库、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冷却系统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控制棒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蒸汽发生器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辐射探测器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防护服和屏蔽材料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PET扫描仪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放射治疗设备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粒子加速器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、中子源等；</w:t>
      </w:r>
    </w:p>
    <w:p w14:paraId="72B923F2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碳捕获：</w:t>
      </w:r>
      <w:r>
        <w:rPr>
          <w:rFonts w:hint="eastAsia" w:ascii="微软雅黑" w:hAnsi="微软雅黑" w:eastAsia="微软雅黑" w:cs="微软雅黑"/>
          <w:sz w:val="28"/>
          <w:szCs w:val="28"/>
        </w:rPr>
        <w:t>碳捕获设备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</w:rPr>
        <w:t>吸收塔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膜分离装置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低温分离装置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）、</w:t>
      </w:r>
      <w:r>
        <w:rPr>
          <w:rFonts w:hint="eastAsia" w:ascii="微软雅黑" w:hAnsi="微软雅黑" w:eastAsia="微软雅黑" w:cs="微软雅黑"/>
          <w:sz w:val="28"/>
          <w:szCs w:val="28"/>
        </w:rPr>
        <w:t>碳运输设施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</w:rPr>
        <w:t>管道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、压缩设备、气体罐）、</w:t>
      </w:r>
      <w:r>
        <w:rPr>
          <w:rFonts w:hint="eastAsia" w:ascii="微软雅黑" w:hAnsi="微软雅黑" w:eastAsia="微软雅黑" w:cs="微软雅黑"/>
          <w:sz w:val="28"/>
          <w:szCs w:val="28"/>
        </w:rPr>
        <w:t>碳储存技术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</w:rPr>
        <w:t>地下储存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矿物碳化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）、</w:t>
      </w:r>
      <w:r>
        <w:rPr>
          <w:rFonts w:hint="eastAsia" w:ascii="微软雅黑" w:hAnsi="微软雅黑" w:eastAsia="微软雅黑" w:cs="微软雅黑"/>
          <w:sz w:val="28"/>
          <w:szCs w:val="28"/>
        </w:rPr>
        <w:t>碳利用技术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</w:rPr>
        <w:t>如合成燃料、化学品或建筑材料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等以及生物利用）、</w:t>
      </w:r>
      <w:r>
        <w:rPr>
          <w:rFonts w:hint="eastAsia" w:ascii="微软雅黑" w:hAnsi="微软雅黑" w:eastAsia="微软雅黑" w:cs="微软雅黑"/>
          <w:sz w:val="28"/>
          <w:szCs w:val="28"/>
        </w:rPr>
        <w:t>监测和验证设备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（如传感器和数据分析系统等）、</w:t>
      </w:r>
      <w:r>
        <w:rPr>
          <w:rFonts w:hint="eastAsia" w:ascii="微软雅黑" w:hAnsi="微软雅黑" w:eastAsia="微软雅黑" w:cs="微软雅黑"/>
          <w:sz w:val="28"/>
          <w:szCs w:val="28"/>
        </w:rPr>
        <w:t>实验和研究设备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等；</w:t>
      </w:r>
    </w:p>
    <w:p w14:paraId="1CDEC0EC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太阳能：</w:t>
      </w:r>
      <w:r>
        <w:rPr>
          <w:rFonts w:hint="eastAsia" w:ascii="微软雅黑" w:hAnsi="微软雅黑" w:eastAsia="微软雅黑" w:cs="微软雅黑"/>
          <w:sz w:val="28"/>
          <w:szCs w:val="28"/>
        </w:rPr>
        <w:t>光伏太阳能电池板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光伏逆变器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光伏支架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蓄电池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光伏阵列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太阳能发电机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太阳能热水器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太阳能取暖系统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太阳能烘干机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太阳能路灯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太阳能庭院灯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太阳能景观灯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太阳能充电器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太阳能背包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太阳能手电筒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太阳能空气净化器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太阳能风扇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太阳能汽车充电器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太阳能水泵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等；</w:t>
      </w:r>
    </w:p>
    <w:p w14:paraId="16517E70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余热利用：</w:t>
      </w:r>
      <w:r>
        <w:rPr>
          <w:rFonts w:hint="eastAsia" w:ascii="微软雅黑" w:hAnsi="微软雅黑" w:eastAsia="微软雅黑" w:cs="微软雅黑"/>
          <w:sz w:val="28"/>
          <w:szCs w:val="28"/>
        </w:rPr>
        <w:t>相变材料（PCM）储热系统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热储罐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工业热泵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热回收风机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废热回收装置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有机朗肯循环（ORC）发电机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热电联产系统（CHP）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废热锅炉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热回收锅炉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板式热交换器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壳管式热交换器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空气冷却器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等；</w:t>
      </w:r>
    </w:p>
    <w:p w14:paraId="27A2030A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公用事业：</w:t>
      </w:r>
      <w:r>
        <w:rPr>
          <w:rFonts w:hint="eastAsia" w:ascii="微软雅黑" w:hAnsi="微软雅黑" w:eastAsia="微软雅黑" w:cs="微软雅黑"/>
          <w:sz w:val="28"/>
          <w:szCs w:val="28"/>
        </w:rPr>
        <w:t>变压器、配电盘、发电机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水泵、过滤器、净水器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燃气表、燃气调压器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污水泵、污水处理厂设备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能源管理系统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智能电表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等；</w:t>
      </w:r>
    </w:p>
    <w:p w14:paraId="06828BD3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风能：</w:t>
      </w:r>
      <w:r>
        <w:rPr>
          <w:rFonts w:hint="eastAsia" w:ascii="微软雅黑" w:hAnsi="微软雅黑" w:eastAsia="微软雅黑" w:cs="微软雅黑"/>
          <w:sz w:val="28"/>
          <w:szCs w:val="28"/>
        </w:rPr>
        <w:t>风力发电机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小型风力发电系统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风力发电塔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风速计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风能充电器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8"/>
          <w:szCs w:val="28"/>
        </w:rPr>
        <w:t>风能水泵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等；</w:t>
      </w:r>
    </w:p>
    <w:p w14:paraId="4B51D79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碳密集型产业与能源转型</w:t>
      </w:r>
    </w:p>
    <w:p w14:paraId="6176EF69"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水泥：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各类混凝土外加剂、混凝土制品、装饰混凝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土； 钢纤、玻纤、微硅粉、密封胶、颜料；水泥及水泥制品、特种水泥、水泥替代产品；移动式、固定式搅拌设备、搅拌车、连接件、沥青搅拌设备及配件、振动棒；混凝土砌块设备、混凝土加气设备、黏土制砖机、轻质墙板机械；</w:t>
      </w:r>
    </w:p>
    <w:p w14:paraId="05E3238F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钢铁：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有色金属的制造与生产；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原料处理设备，冶金冶炼设备，轧钢设备； 炼焦，炼铁；碳素产品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；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电炉炼钢，氧气炼钢；特种合金和铸造；钢包和二次精炼；连铸；热轧和冷轧技术与设备；镀锌，马口铁和电镀锌；各类钢管；各类型材及板材；不锈钢、特殊钢材及各类合金材料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；</w:t>
      </w:r>
    </w:p>
    <w:p w14:paraId="50C9CDF0"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重型运输：抱罐车、鱼雷罐车、平板车、框架运输车、动力模块车及液压挂车等；</w:t>
      </w:r>
    </w:p>
    <w:p w14:paraId="1671D1CE"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化工：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粘合剂和密封剂、农业化学品、分析设备、生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物基化学品、生物催化剂、化学中间体、涂料、着色剂和染料、化妆品原料、电子化学品等；香精香料、食物成分、通用化学品、工业化学品、工业清洗剂、实验室设备、皮革纺织化学品、油田/采矿化学品、肽和蛋白质、石油化学产品等；</w:t>
      </w:r>
    </w:p>
    <w:p w14:paraId="4DA18FD7"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采矿：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露天开采、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地下采矿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选矿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勘探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地质勘探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金工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矿山企业设计与施工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采矿和冶金联合体设备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 xml:space="preserve">机械设备备件和配件 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；</w:t>
      </w:r>
    </w:p>
    <w:p w14:paraId="657FCCE0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金融与能源转型：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开发银行、机构投资者、风险投资、慈善资本、主权财富基金、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保险、融资、经纪、投资、咨询、租赁等。</w:t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1D2C90"/>
    <w:multiLevelType w:val="singleLevel"/>
    <w:tmpl w:val="FA1D2C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B946215"/>
    <w:multiLevelType w:val="singleLevel"/>
    <w:tmpl w:val="FB94621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0070CEC5"/>
    <w:multiLevelType w:val="singleLevel"/>
    <w:tmpl w:val="0070CEC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51F4D36D"/>
    <w:multiLevelType w:val="singleLevel"/>
    <w:tmpl w:val="51F4D3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596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0C3512"/>
    <w:rsid w:val="02AF1DD6"/>
    <w:rsid w:val="04FD5827"/>
    <w:rsid w:val="09CF085B"/>
    <w:rsid w:val="0A6006F4"/>
    <w:rsid w:val="0B365CE9"/>
    <w:rsid w:val="0DA77E7B"/>
    <w:rsid w:val="0DBB31C1"/>
    <w:rsid w:val="0E60009A"/>
    <w:rsid w:val="0F2C7498"/>
    <w:rsid w:val="101E1709"/>
    <w:rsid w:val="1395195F"/>
    <w:rsid w:val="14077076"/>
    <w:rsid w:val="18F87996"/>
    <w:rsid w:val="20FF58A6"/>
    <w:rsid w:val="21AB67E6"/>
    <w:rsid w:val="21DB0CE2"/>
    <w:rsid w:val="2A8F34E6"/>
    <w:rsid w:val="2E131FA7"/>
    <w:rsid w:val="310223B3"/>
    <w:rsid w:val="3341378C"/>
    <w:rsid w:val="3790083E"/>
    <w:rsid w:val="39DA08C9"/>
    <w:rsid w:val="4024057B"/>
    <w:rsid w:val="421F3775"/>
    <w:rsid w:val="440C65D9"/>
    <w:rsid w:val="442C5396"/>
    <w:rsid w:val="442F0DBC"/>
    <w:rsid w:val="45340519"/>
    <w:rsid w:val="45C866FF"/>
    <w:rsid w:val="497F2993"/>
    <w:rsid w:val="49990697"/>
    <w:rsid w:val="4AA97882"/>
    <w:rsid w:val="51491824"/>
    <w:rsid w:val="53CA6A5F"/>
    <w:rsid w:val="57192812"/>
    <w:rsid w:val="58F53702"/>
    <w:rsid w:val="59B86A9F"/>
    <w:rsid w:val="5C1653F4"/>
    <w:rsid w:val="5C412695"/>
    <w:rsid w:val="5C970FB3"/>
    <w:rsid w:val="5C991344"/>
    <w:rsid w:val="5D5F32BF"/>
    <w:rsid w:val="5E007B96"/>
    <w:rsid w:val="5FE01AB3"/>
    <w:rsid w:val="60C507AD"/>
    <w:rsid w:val="6145156F"/>
    <w:rsid w:val="62806114"/>
    <w:rsid w:val="677404B3"/>
    <w:rsid w:val="67DD4B2A"/>
    <w:rsid w:val="68294213"/>
    <w:rsid w:val="683242A3"/>
    <w:rsid w:val="68991CCA"/>
    <w:rsid w:val="6A365CE0"/>
    <w:rsid w:val="6FA918C5"/>
    <w:rsid w:val="6FD967A8"/>
    <w:rsid w:val="700A27C3"/>
    <w:rsid w:val="703F2826"/>
    <w:rsid w:val="72283F71"/>
    <w:rsid w:val="732E1154"/>
    <w:rsid w:val="74C30200"/>
    <w:rsid w:val="76422D7F"/>
    <w:rsid w:val="76FD2C98"/>
    <w:rsid w:val="79D3334C"/>
    <w:rsid w:val="7C8820A3"/>
    <w:rsid w:val="7D994356"/>
    <w:rsid w:val="7EAB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  <w:iCs/>
    </w:rPr>
  </w:style>
  <w:style w:type="character" w:styleId="8">
    <w:name w:val="Hyperlink"/>
    <w:basedOn w:val="5"/>
    <w:qFormat/>
    <w:uiPriority w:val="0"/>
    <w:rPr>
      <w:color w:val="0000FF"/>
      <w:u w:val="single"/>
    </w:rPr>
  </w:style>
  <w:style w:type="table" w:customStyle="1" w:styleId="9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1">
    <w:name w:val="普通表格1"/>
    <w:basedOn w:val="4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3456</Words>
  <Characters>3714</Characters>
  <Lines>0</Lines>
  <Paragraphs>0</Paragraphs>
  <TotalTime>202</TotalTime>
  <ScaleCrop>false</ScaleCrop>
  <LinksUpToDate>false</LinksUpToDate>
  <CharactersWithSpaces>3739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2024-09-18T05:44:37Z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BD0BB326D847412FB035C07330487F99_13</vt:lpwstr>
  </property>
</Properties>
</file>