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1AD20D">
      <w:pPr>
        <w:jc w:val="center"/>
        <w:rPr>
          <w:rFonts w:ascii="微软雅黑" w:hAnsi="微软雅黑" w:eastAsia="微软雅黑" w:cs="微软雅黑"/>
          <w:b/>
          <w:bCs/>
          <w:kern w:val="0"/>
          <w:sz w:val="52"/>
          <w:szCs w:val="56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2"/>
          <w:szCs w:val="56"/>
        </w:rPr>
        <w:t>2025加纳电力能源 &amp; 水处理展 MWA</w:t>
      </w:r>
    </w:p>
    <w:p w14:paraId="65F5BDAE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3291205" cy="1009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4" b="37971"/>
                    <a:stretch>
                      <a:fillRect/>
                    </a:stretch>
                  </pic:blipFill>
                  <pic:spPr>
                    <a:xfrm>
                      <a:off x="0" y="0"/>
                      <a:ext cx="3297645" cy="1011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D6E1">
      <w:pPr>
        <w:jc w:val="left"/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展会介绍</w:t>
      </w:r>
    </w:p>
    <w:p w14:paraId="46407883">
      <w:pPr>
        <w:pStyle w:val="2"/>
        <w:tabs>
          <w:tab w:val="left" w:pos="5460"/>
        </w:tabs>
        <w:jc w:val="left"/>
        <w:rPr>
          <w:b/>
          <w:bCs/>
          <w:color w:val="050E17"/>
          <w:spacing w:val="9"/>
          <w:sz w:val="24"/>
          <w:szCs w:val="24"/>
          <w:lang w:eastAsia="zh-CN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 w14:paraId="55015648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b/>
          <w:bCs/>
          <w:color w:val="050E17"/>
          <w:spacing w:val="9"/>
          <w:lang w:eastAsia="zh-CN"/>
        </w:rPr>
        <w:t>展会时间</w:t>
      </w:r>
      <w:r>
        <w:rPr>
          <w:rFonts w:hint="eastAsia"/>
          <w:b/>
          <w:bCs/>
          <w:color w:val="050E17"/>
          <w:spacing w:val="9"/>
          <w:lang w:eastAsia="zh-CN"/>
        </w:rPr>
        <w:t>：</w:t>
      </w:r>
      <w:r>
        <w:rPr>
          <w:b/>
          <w:bCs/>
          <w:color w:val="050E17"/>
          <w:spacing w:val="9"/>
          <w:lang w:eastAsia="zh-CN"/>
        </w:rPr>
        <w:t>202</w:t>
      </w:r>
      <w:r>
        <w:rPr>
          <w:rFonts w:hint="eastAsia"/>
          <w:b/>
          <w:bCs/>
          <w:color w:val="050E17"/>
          <w:spacing w:val="9"/>
          <w:lang w:eastAsia="zh-CN"/>
        </w:rPr>
        <w:t>5年7</w:t>
      </w:r>
      <w:r>
        <w:rPr>
          <w:b/>
          <w:bCs/>
          <w:color w:val="050E17"/>
          <w:spacing w:val="9"/>
          <w:lang w:eastAsia="zh-CN"/>
        </w:rPr>
        <w:t>月22</w:t>
      </w:r>
      <w:r>
        <w:rPr>
          <w:rFonts w:hint="eastAsia"/>
          <w:b/>
          <w:bCs/>
          <w:color w:val="050E17"/>
          <w:spacing w:val="9"/>
          <w:lang w:eastAsia="zh-CN"/>
        </w:rPr>
        <w:t>日-</w:t>
      </w:r>
      <w:r>
        <w:rPr>
          <w:b/>
          <w:bCs/>
          <w:color w:val="050E17"/>
          <w:spacing w:val="9"/>
          <w:lang w:eastAsia="zh-CN"/>
        </w:rPr>
        <w:t>7</w:t>
      </w:r>
      <w:r>
        <w:rPr>
          <w:rFonts w:hint="eastAsia"/>
          <w:b/>
          <w:bCs/>
          <w:color w:val="050E17"/>
          <w:spacing w:val="9"/>
          <w:lang w:eastAsia="zh-CN"/>
        </w:rPr>
        <w:t>月</w:t>
      </w:r>
      <w:r>
        <w:rPr>
          <w:b/>
          <w:bCs/>
          <w:color w:val="050E17"/>
          <w:spacing w:val="9"/>
          <w:lang w:eastAsia="zh-CN"/>
        </w:rPr>
        <w:t>24</w:t>
      </w:r>
      <w:r>
        <w:rPr>
          <w:rFonts w:hint="eastAsia"/>
          <w:b/>
          <w:bCs/>
          <w:color w:val="050E17"/>
          <w:spacing w:val="9"/>
          <w:lang w:eastAsia="zh-CN"/>
        </w:rPr>
        <w:t>日</w:t>
      </w:r>
    </w:p>
    <w:p w14:paraId="3F19BBAE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b/>
          <w:bCs/>
          <w:color w:val="050E17"/>
          <w:spacing w:val="9"/>
          <w:lang w:eastAsia="zh-CN"/>
        </w:rPr>
        <w:t>主办单位</w:t>
      </w:r>
      <w:r>
        <w:rPr>
          <w:rFonts w:hint="eastAsia"/>
          <w:b/>
          <w:bCs/>
          <w:color w:val="050E17"/>
          <w:spacing w:val="9"/>
          <w:lang w:eastAsia="zh-CN"/>
        </w:rPr>
        <w:t>：</w:t>
      </w:r>
      <w:r>
        <w:rPr>
          <w:b/>
          <w:bCs/>
          <w:color w:val="050E17"/>
          <w:spacing w:val="9"/>
          <w:lang w:eastAsia="zh-CN"/>
        </w:rPr>
        <w:t>MIE</w:t>
      </w:r>
      <w:r>
        <w:rPr>
          <w:rFonts w:hint="eastAsia"/>
          <w:b/>
          <w:bCs/>
          <w:color w:val="050E17"/>
          <w:spacing w:val="9"/>
          <w:lang w:eastAsia="zh-CN"/>
        </w:rPr>
        <w:t xml:space="preserve"> </w:t>
      </w:r>
    </w:p>
    <w:p w14:paraId="4EC457EB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rFonts w:hint="eastAsia"/>
          <w:b/>
          <w:bCs/>
          <w:color w:val="050E17"/>
          <w:spacing w:val="9"/>
          <w:lang w:eastAsia="zh-CN"/>
        </w:rPr>
        <w:t xml:space="preserve">展会地点：阿克拉国际会议中心   </w:t>
      </w:r>
    </w:p>
    <w:p w14:paraId="617E9E1E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  <w:sectPr>
          <w:type w:val="continuous"/>
          <w:pgSz w:w="11906" w:h="16838"/>
          <w:pgMar w:top="1440" w:right="1134" w:bottom="1440" w:left="1134" w:header="851" w:footer="992" w:gutter="0"/>
          <w:cols w:equalWidth="0" w:num="2">
            <w:col w:w="5025" w:space="7"/>
            <w:col w:w="4606"/>
          </w:cols>
          <w:docGrid w:type="lines" w:linePitch="312" w:charSpace="0"/>
        </w:sectPr>
      </w:pPr>
      <w:r>
        <w:rPr>
          <w:rFonts w:hint="eastAsia"/>
          <w:b/>
          <w:bCs/>
          <w:color w:val="050E17"/>
          <w:spacing w:val="9"/>
          <w:lang w:eastAsia="zh-CN"/>
        </w:rPr>
        <w:t>展会类型：能源环保</w:t>
      </w:r>
    </w:p>
    <w:p w14:paraId="7A30C08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</w:pPr>
    </w:p>
    <w:p w14:paraId="71D703AD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6047740" cy="25901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b="18656"/>
                    <a:stretch>
                      <a:fillRect/>
                    </a:stretch>
                  </pic:blipFill>
                  <pic:spPr>
                    <a:xfrm>
                      <a:off x="0" y="0"/>
                      <a:ext cx="6055344" cy="25939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2DB2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非洲（加纳）电力能源展MWA是由中东国际展览集团（MIE）主办，展会已经成功举办过四届，是加纳境内规模较大的专业展之一！</w:t>
      </w:r>
    </w:p>
    <w:p w14:paraId="5014A099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MWA的璀璨舞台上，来自世界各地的能源巨头、创新企业、科研机构及政府代表将齐聚一堂，共同探索可再生能源的前沿技术，如太阳能光伏的革新突破、风能的高效利用、储能技术的飞跃性进展等，这些绿色科技的璀璨星辰，将在这片充满希望的土地上交相辉映，绘制出一幅幅未来能源发展的宏伟蓝图。</w:t>
      </w:r>
    </w:p>
    <w:p w14:paraId="2C84F07E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第五届加纳电力能源展将于2025年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22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24</w:t>
      </w:r>
      <w:r>
        <w:rPr>
          <w:rFonts w:hint="eastAsia" w:ascii="微软雅黑" w:hAnsi="微软雅黑" w:eastAsia="微软雅黑"/>
          <w:szCs w:val="21"/>
        </w:rPr>
        <w:t>日在加纳阿克拉国际会议中心举办，将吸引来自超过12个国家的300余家展商参展，并吸引15，000余名观众参观。</w:t>
      </w:r>
    </w:p>
    <w:p w14:paraId="2830E401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这是一场汇聚全球智慧与创新的能源盛宴，照亮了非洲绿色发展的新征程。往届展会得到了加纳工商总会、中加友好协会、加纳商业发展部、加纳旅游局、加纳投资促进中心、加纳-中国友好协会的大力支持！</w:t>
      </w:r>
    </w:p>
    <w:p w14:paraId="300A5D2D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</w:p>
    <w:p w14:paraId="5CFFD7EE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</w:p>
    <w:p w14:paraId="69093611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</w:p>
    <w:tbl>
      <w:tblPr>
        <w:tblStyle w:val="8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2420"/>
        <w:gridCol w:w="2414"/>
        <w:gridCol w:w="2427"/>
      </w:tblGrid>
      <w:tr w14:paraId="27A08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1237" w:type="pct"/>
            <w:shd w:val="clear" w:color="auto" w:fill="4069DD"/>
            <w:vAlign w:val="center"/>
          </w:tcPr>
          <w:p w14:paraId="02BE5495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Cs w:val="21"/>
              </w:rPr>
              <w:t>国际展商</w:t>
            </w:r>
          </w:p>
        </w:tc>
        <w:tc>
          <w:tcPr>
            <w:tcW w:w="1254" w:type="pct"/>
            <w:shd w:val="clear" w:color="auto" w:fill="4069DD"/>
            <w:vAlign w:val="center"/>
          </w:tcPr>
          <w:p w14:paraId="21F81B20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Cs w:val="21"/>
              </w:rPr>
              <w:t>参展人数</w:t>
            </w:r>
          </w:p>
        </w:tc>
        <w:tc>
          <w:tcPr>
            <w:tcW w:w="1251" w:type="pct"/>
            <w:shd w:val="clear" w:color="auto" w:fill="4069DD"/>
            <w:vAlign w:val="center"/>
          </w:tcPr>
          <w:p w14:paraId="7DB06556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Cs w:val="21"/>
              </w:rPr>
              <w:t>辐射国家</w:t>
            </w:r>
          </w:p>
        </w:tc>
        <w:tc>
          <w:tcPr>
            <w:tcW w:w="1258" w:type="pct"/>
            <w:shd w:val="clear" w:color="auto" w:fill="4069DD"/>
            <w:vAlign w:val="center"/>
          </w:tcPr>
          <w:p w14:paraId="621158AF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7"/>
                <w:szCs w:val="21"/>
              </w:rPr>
              <w:t>峰会发言人</w:t>
            </w:r>
          </w:p>
        </w:tc>
      </w:tr>
      <w:tr w14:paraId="639C6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1237" w:type="pct"/>
            <w:vAlign w:val="center"/>
          </w:tcPr>
          <w:p w14:paraId="781F5098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8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spacing w:val="-8"/>
                <w:szCs w:val="21"/>
              </w:rPr>
              <w:t>00</w:t>
            </w:r>
            <w:r>
              <w:rPr>
                <w:rFonts w:ascii="微软雅黑" w:hAnsi="微软雅黑" w:eastAsia="微软雅黑" w:cs="微软雅黑"/>
                <w:spacing w:val="-8"/>
                <w:szCs w:val="21"/>
              </w:rPr>
              <w:t>+</w:t>
            </w:r>
          </w:p>
        </w:tc>
        <w:tc>
          <w:tcPr>
            <w:tcW w:w="1254" w:type="pct"/>
            <w:vAlign w:val="center"/>
          </w:tcPr>
          <w:p w14:paraId="6BA34CEE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15</w:t>
            </w:r>
            <w:r>
              <w:rPr>
                <w:rFonts w:hint="eastAsia" w:ascii="微软雅黑" w:hAnsi="微软雅黑" w:eastAsia="微软雅黑" w:cs="微软雅黑"/>
                <w:spacing w:val="-3"/>
                <w:szCs w:val="21"/>
              </w:rPr>
              <w:t>,000</w:t>
            </w: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+</w:t>
            </w:r>
          </w:p>
        </w:tc>
        <w:tc>
          <w:tcPr>
            <w:tcW w:w="1251" w:type="pct"/>
            <w:vAlign w:val="center"/>
          </w:tcPr>
          <w:p w14:paraId="3D512432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10"/>
                <w:szCs w:val="21"/>
              </w:rPr>
              <w:t>12+</w:t>
            </w:r>
          </w:p>
        </w:tc>
        <w:tc>
          <w:tcPr>
            <w:tcW w:w="1258" w:type="pct"/>
            <w:vAlign w:val="center"/>
          </w:tcPr>
          <w:p w14:paraId="6484A1B3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000+</w:t>
            </w:r>
          </w:p>
        </w:tc>
      </w:tr>
    </w:tbl>
    <w:p w14:paraId="015B1EA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hAnsi="微软雅黑" w:eastAsia="微软雅黑"/>
          <w:sz w:val="24"/>
        </w:rPr>
      </w:pPr>
    </w:p>
    <w:p w14:paraId="034B5F8F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微软雅黑" w:hAnsi="微软雅黑" w:eastAsia="微软雅黑" w:cs="微软雅黑"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市场机遇</w:t>
      </w:r>
      <w:r>
        <w:rPr>
          <w:rFonts w:ascii="微软雅黑" w:hAnsi="微软雅黑" w:eastAsia="微软雅黑" w:cs="微软雅黑"/>
          <w:b/>
          <w:bCs/>
          <w:sz w:val="40"/>
          <w:szCs w:val="4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8yWdNIAAAADAQAADwAAAAAA&#10;AAABACAAAAAiAAAAZHJzL2Rvd25yZXYueG1sUEsBAhQAFAAAAAgAh07iQOzMYQsZAgAAHgQAAA4A&#10;AAAAAAAAAQAgAAAAIQEAAGRycy9lMm9Eb2MueG1sUEsFBgAAAAAGAAYAWQEAAKw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33B8F425">
      <w:pPr>
        <w:widowControl/>
        <w:kinsoku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宋体" w:hAnsi="宋体" w:eastAsia="宋体" w:cs="宋体"/>
          <w:szCs w:val="21"/>
        </w:rPr>
      </w:pPr>
      <w:r>
        <w:rPr>
          <w:rFonts w:ascii="微软雅黑" w:hAnsi="微软雅黑" w:eastAsia="微软雅黑" w:cs="微软雅黑"/>
          <w:bCs/>
          <w:sz w:val="40"/>
          <w:szCs w:val="40"/>
        </w:rPr>
        <w:drawing>
          <wp:inline distT="0" distB="0" distL="0" distR="0">
            <wp:extent cx="6096000" cy="2924175"/>
            <wp:effectExtent l="0" t="0" r="0" b="9525"/>
            <wp:docPr id="4" name="图片 4" descr="C:\Users\mie\Documents\WeChat Files\wxid_6ycwxtxvzsut22\FileStorage\Temp\172982376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ie\Documents\WeChat Files\wxid_6ycwxtxvzsut22\FileStorage\Temp\17298237654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4" b="105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3156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加纳位于非洲西部、几内亚湾北岸，西邻科特迪瓦，北接布基纳法索，东毗多哥，南濒大西洋，海岸线长约562公里。加纳的太阳能、风能和生物质能等可再生能源十分丰富，这使可再生能源成为该国热门投资领域。</w:t>
      </w:r>
    </w:p>
    <w:p w14:paraId="46AD5051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加纳的水力发电站是电力供应的主要来源，尤其是阿科松博水电站和邦河水电站等。阿科松博大坝是加纳电力的主要支柱之一，利用了沃尔特湖的水力资源。加纳也通过天然气和石油燃料的火力发电站发电。塔克拉迪的火电厂依赖来自西非天然气管道的天然气。随着天然气的供应量逐步增加，火力发电的贡献也在稳步上升。近年来，加纳致力于发展可再生能源，特别是太阳能和风能项目。这些项目得到了政府和国际组织的支持，目的是减少对化石燃料和水力发电的依赖，改善电力短缺问题</w:t>
      </w:r>
    </w:p>
    <w:p w14:paraId="3E762E63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尽管加纳的电力基础设施有所发展，但仍然面临电力短缺和不稳定的供电问题。电力中断频繁，尤其在旱季，当水库水位下降时，水力发电能力会受到影响。此外，电力基础设施的老化和维护不善也是一个问题。</w:t>
      </w:r>
    </w:p>
    <w:p w14:paraId="56365CB0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加纳的城市供水，如阿克拉和库马西，供水基础设施相对较发达，虽然仍然存在供水不足和水质问题。自来水的普及率较高，但由于基础设施老化、人口增长和城市扩张，供水服务的压力越来越大。在农村地区，很多家庭依赖于井水、雨水收集和河流等自然水源。尽管政府和国际援助组织投资于改善农村供水，但普及度仍然有限。很多偏远地区的水处理设施不足，导致饮用水质差，</w:t>
      </w:r>
      <w:bookmarkStart w:id="0" w:name="_GoBack"/>
      <w:bookmarkEnd w:id="0"/>
      <w:r>
        <w:rPr>
          <w:rFonts w:hint="eastAsia" w:ascii="微软雅黑" w:hAnsi="微软雅黑" w:eastAsia="微软雅黑"/>
          <w:szCs w:val="21"/>
        </w:rPr>
        <w:t>水源污染是常见问题。</w:t>
      </w:r>
    </w:p>
    <w:p w14:paraId="7E56011C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加纳的污水处理系统严重滞后，尤其是在城市中，缺乏足够的污水处理厂和管网系统。大多数家庭依赖化粪池系统，而只有少数地区能够接入城市污水系统。这导致了城市水体的污染和公共卫生问题。由于缺乏适当的污水处理，工业和农业废水常常未经处理直接排入河流，导致了严重的水污染，特别是在靠近城市的河流和湖泊。</w:t>
      </w:r>
    </w:p>
    <w:p w14:paraId="0CAE3C94">
      <w:pPr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加纳政府正在积极推动能源和水处理领域的改革。为了应对电力供应问题，政府鼓励国内外投资者参与可再生能源和火力发电项目。同时，政府还与多个国际组织合作，如世界银行、非洲开发银行等，来改善供水和水处理系统，尤其是农村地区的水处理设施建设。</w:t>
      </w:r>
    </w:p>
    <w:p w14:paraId="54F46E94">
      <w:pPr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</w:p>
    <w:p w14:paraId="1B868509">
      <w:pPr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参展范围</w:t>
      </w:r>
    </w:p>
    <w:p w14:paraId="61B4B113">
      <w:pPr>
        <w:jc w:val="center"/>
        <w:rPr>
          <w:rFonts w:ascii="微软雅黑" w:hAnsi="微软雅黑" w:eastAsia="微软雅黑" w:cs="宋体"/>
          <w:kern w:val="0"/>
          <w:sz w:val="43"/>
          <w:szCs w:val="43"/>
        </w:rPr>
      </w:pPr>
      <w:r>
        <w:rPr>
          <w:rFonts w:ascii="微软雅黑" w:hAnsi="微软雅黑" w:eastAsia="微软雅黑" w:cs="宋体"/>
          <w:kern w:val="0"/>
          <w:sz w:val="43"/>
          <w:szCs w:val="43"/>
        </w:rPr>
        <w:drawing>
          <wp:inline distT="0" distB="0" distL="0" distR="0">
            <wp:extent cx="6120130" cy="24568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8DC0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  <w:t xml:space="preserve">· </w:t>
      </w: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电力：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电站设备系统：电力装置、电机工程、电力供应和附件、测量及电子设备系统、安全监控、消防系统等；</w:t>
      </w:r>
    </w:p>
    <w:p w14:paraId="36CB3CE3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  <w:t xml:space="preserve">· </w:t>
      </w: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输变电设备：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高、低压变压器，仪表互感器，电力变频器，电线电缆、电力电容避雷器，接地电阻，电抗器，电炉和加热设备，电焊机，绝缘器及其它；配电装置和控制设备，开关装置，高压开关，高、低压断路器，清洁能源等设备制造；</w:t>
      </w:r>
    </w:p>
    <w:p w14:paraId="3982FF6F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  <w:t xml:space="preserve">· </w:t>
      </w: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各类发电设备：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风力发电设备，太阳能技术及设备，蒸气锅炉，蒸气透平以及其它能源发电系统；各类电机和发电机，直流发电机，交流发电机，发电机，电动机，电动工具及其它电机和发电机。</w:t>
      </w:r>
    </w:p>
    <w:p w14:paraId="16BC352C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  <w:t xml:space="preserve">· </w:t>
      </w: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新能源和可再生能源：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太阳能装置，风力发电，能源消耗监控及服务，能源测量，环境，动力及风动力装置，再循环系统（固体、液体、蒸汽），潮能，生物燃料等。</w:t>
      </w:r>
    </w:p>
    <w:p w14:paraId="49286982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  <w:t xml:space="preserve">· </w:t>
      </w: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各种储能电池：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风力发电、太阳能发电、风光互补系统、太阳能路灯、草坪灯、景观灯及交通信号灯等产品用储能电池；</w:t>
      </w:r>
    </w:p>
    <w:p w14:paraId="1A0BB659">
      <w:pPr>
        <w:pStyle w:val="11"/>
        <w:widowControl/>
        <w:kinsoku w:val="0"/>
        <w:autoSpaceDE w:val="0"/>
        <w:autoSpaceDN w:val="0"/>
        <w:adjustRightInd w:val="0"/>
        <w:spacing w:line="360" w:lineRule="exact"/>
        <w:ind w:firstLine="0" w:firstLineChars="0"/>
        <w:textAlignment w:val="baseline"/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00000"/>
          <w:szCs w:val="21"/>
          <w:shd w:val="clear" w:color="auto" w:fill="FFFFFF"/>
        </w:rPr>
        <w:t>· 水处理设备和技术：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水处理厂；脱盐工厂；水环境配套设备，过滤设备仪器及材料，水厂设备和技术，水井钻探设备；水厂整体装备及配套设施，水工程施工与咨询，工业废水和城市污水处理、给排水、水泵、水表、阀门、蓄水罐、输水管，管网检测及处理修复工程技术、密封件材料及管道设备等；</w:t>
      </w:r>
      <w:r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工业废水和城市污水处理；</w:t>
      </w:r>
      <w:r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供水系统、水泵和发动机；</w:t>
      </w:r>
      <w:r>
        <w:rPr>
          <w:rFonts w:ascii="微软雅黑" w:hAnsi="微软雅黑" w:eastAsia="微软雅黑"/>
          <w:bCs/>
          <w:color w:val="000000"/>
          <w:szCs w:val="21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bCs/>
          <w:color w:val="000000"/>
          <w:szCs w:val="21"/>
          <w:shd w:val="clear" w:color="auto" w:fill="FFFFFF"/>
        </w:rPr>
        <w:t>排灌设备管网检测及处理修复工程技术；净水剂；纯水净化设备、废水再循环系统、水污染监控分析设备；海水淡化；净水设备；水资源检测、分析、监控仪器与设备等。</w:t>
      </w:r>
    </w:p>
    <w:sectPr>
      <w:type w:val="continuous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1F6BF5"/>
    <w:rsid w:val="000016AE"/>
    <w:rsid w:val="00005C57"/>
    <w:rsid w:val="0003383F"/>
    <w:rsid w:val="00045086"/>
    <w:rsid w:val="00050647"/>
    <w:rsid w:val="00063D91"/>
    <w:rsid w:val="000762B7"/>
    <w:rsid w:val="00092FA0"/>
    <w:rsid w:val="000A75F8"/>
    <w:rsid w:val="000B4DB1"/>
    <w:rsid w:val="000B67E2"/>
    <w:rsid w:val="000C2488"/>
    <w:rsid w:val="000C2C44"/>
    <w:rsid w:val="000E2595"/>
    <w:rsid w:val="000F6A62"/>
    <w:rsid w:val="00102CB4"/>
    <w:rsid w:val="00117AF9"/>
    <w:rsid w:val="00120AE5"/>
    <w:rsid w:val="0013365A"/>
    <w:rsid w:val="00135DD8"/>
    <w:rsid w:val="00136029"/>
    <w:rsid w:val="00143541"/>
    <w:rsid w:val="001456E6"/>
    <w:rsid w:val="00151250"/>
    <w:rsid w:val="00156C2E"/>
    <w:rsid w:val="00160885"/>
    <w:rsid w:val="0019118C"/>
    <w:rsid w:val="0019276A"/>
    <w:rsid w:val="001971C3"/>
    <w:rsid w:val="001A0EA5"/>
    <w:rsid w:val="001A20DB"/>
    <w:rsid w:val="001A32BE"/>
    <w:rsid w:val="001A4E5A"/>
    <w:rsid w:val="001B15B3"/>
    <w:rsid w:val="001B6D6F"/>
    <w:rsid w:val="001E2E84"/>
    <w:rsid w:val="001E5EF8"/>
    <w:rsid w:val="001F23CF"/>
    <w:rsid w:val="001F6BF5"/>
    <w:rsid w:val="00212B26"/>
    <w:rsid w:val="00216158"/>
    <w:rsid w:val="0023403C"/>
    <w:rsid w:val="00235076"/>
    <w:rsid w:val="00243478"/>
    <w:rsid w:val="00246421"/>
    <w:rsid w:val="0025119B"/>
    <w:rsid w:val="0025219A"/>
    <w:rsid w:val="0027683B"/>
    <w:rsid w:val="00294CC7"/>
    <w:rsid w:val="002A5B72"/>
    <w:rsid w:val="002C3F6A"/>
    <w:rsid w:val="002E368C"/>
    <w:rsid w:val="002F1554"/>
    <w:rsid w:val="003037B2"/>
    <w:rsid w:val="0030690E"/>
    <w:rsid w:val="003352B9"/>
    <w:rsid w:val="00336EEA"/>
    <w:rsid w:val="00344DAB"/>
    <w:rsid w:val="00374357"/>
    <w:rsid w:val="0038510C"/>
    <w:rsid w:val="00390D48"/>
    <w:rsid w:val="00391FE8"/>
    <w:rsid w:val="0039518D"/>
    <w:rsid w:val="003B0BEB"/>
    <w:rsid w:val="003B6EA5"/>
    <w:rsid w:val="003C3988"/>
    <w:rsid w:val="003C794A"/>
    <w:rsid w:val="003D27BA"/>
    <w:rsid w:val="003D68CE"/>
    <w:rsid w:val="003E00D2"/>
    <w:rsid w:val="003E0CFC"/>
    <w:rsid w:val="003F1980"/>
    <w:rsid w:val="003F48E7"/>
    <w:rsid w:val="003F7015"/>
    <w:rsid w:val="00402281"/>
    <w:rsid w:val="00423C6D"/>
    <w:rsid w:val="00424DD7"/>
    <w:rsid w:val="00425440"/>
    <w:rsid w:val="004405F0"/>
    <w:rsid w:val="00441B1C"/>
    <w:rsid w:val="00446F20"/>
    <w:rsid w:val="00457462"/>
    <w:rsid w:val="004668B9"/>
    <w:rsid w:val="00471A8A"/>
    <w:rsid w:val="004771DA"/>
    <w:rsid w:val="00483FD1"/>
    <w:rsid w:val="004B4D59"/>
    <w:rsid w:val="004C75E8"/>
    <w:rsid w:val="004D5809"/>
    <w:rsid w:val="004E296F"/>
    <w:rsid w:val="004F2B98"/>
    <w:rsid w:val="005008D3"/>
    <w:rsid w:val="00501F35"/>
    <w:rsid w:val="0051659E"/>
    <w:rsid w:val="00522578"/>
    <w:rsid w:val="005430BB"/>
    <w:rsid w:val="00550C0B"/>
    <w:rsid w:val="00552E94"/>
    <w:rsid w:val="00553DC5"/>
    <w:rsid w:val="00567F68"/>
    <w:rsid w:val="005945A3"/>
    <w:rsid w:val="005E55B2"/>
    <w:rsid w:val="006010A4"/>
    <w:rsid w:val="00602921"/>
    <w:rsid w:val="00602D86"/>
    <w:rsid w:val="00604DDA"/>
    <w:rsid w:val="00607E21"/>
    <w:rsid w:val="0062368B"/>
    <w:rsid w:val="00625557"/>
    <w:rsid w:val="006256A9"/>
    <w:rsid w:val="00633151"/>
    <w:rsid w:val="00634549"/>
    <w:rsid w:val="0065622B"/>
    <w:rsid w:val="00677DEF"/>
    <w:rsid w:val="006809E7"/>
    <w:rsid w:val="00682301"/>
    <w:rsid w:val="00685DB8"/>
    <w:rsid w:val="0069258F"/>
    <w:rsid w:val="006944BD"/>
    <w:rsid w:val="006975F4"/>
    <w:rsid w:val="006B1859"/>
    <w:rsid w:val="006B2F96"/>
    <w:rsid w:val="006C2201"/>
    <w:rsid w:val="006E5139"/>
    <w:rsid w:val="006F2B70"/>
    <w:rsid w:val="006F7741"/>
    <w:rsid w:val="00703412"/>
    <w:rsid w:val="00705F5B"/>
    <w:rsid w:val="00706CD6"/>
    <w:rsid w:val="0071195E"/>
    <w:rsid w:val="00711BEB"/>
    <w:rsid w:val="00720D10"/>
    <w:rsid w:val="00721297"/>
    <w:rsid w:val="007348BA"/>
    <w:rsid w:val="00740439"/>
    <w:rsid w:val="007514F9"/>
    <w:rsid w:val="007550F6"/>
    <w:rsid w:val="0076614E"/>
    <w:rsid w:val="00771494"/>
    <w:rsid w:val="00771DF2"/>
    <w:rsid w:val="00780CC2"/>
    <w:rsid w:val="00781DB7"/>
    <w:rsid w:val="007B2A8F"/>
    <w:rsid w:val="007D287B"/>
    <w:rsid w:val="007D2B63"/>
    <w:rsid w:val="007D454E"/>
    <w:rsid w:val="007E0D98"/>
    <w:rsid w:val="007E2192"/>
    <w:rsid w:val="007E5C82"/>
    <w:rsid w:val="007F26F7"/>
    <w:rsid w:val="007F3A55"/>
    <w:rsid w:val="007F7716"/>
    <w:rsid w:val="00822ACC"/>
    <w:rsid w:val="008247D7"/>
    <w:rsid w:val="00836AD2"/>
    <w:rsid w:val="008553DA"/>
    <w:rsid w:val="00867672"/>
    <w:rsid w:val="00874574"/>
    <w:rsid w:val="00881F13"/>
    <w:rsid w:val="008A212E"/>
    <w:rsid w:val="008A2953"/>
    <w:rsid w:val="008B6E42"/>
    <w:rsid w:val="008C207F"/>
    <w:rsid w:val="008C5F7C"/>
    <w:rsid w:val="008F4016"/>
    <w:rsid w:val="00902348"/>
    <w:rsid w:val="00925C2D"/>
    <w:rsid w:val="00926378"/>
    <w:rsid w:val="0094240F"/>
    <w:rsid w:val="00945782"/>
    <w:rsid w:val="00953365"/>
    <w:rsid w:val="00957711"/>
    <w:rsid w:val="009607B1"/>
    <w:rsid w:val="00992626"/>
    <w:rsid w:val="00996A64"/>
    <w:rsid w:val="00996FE4"/>
    <w:rsid w:val="00997F1D"/>
    <w:rsid w:val="009A1375"/>
    <w:rsid w:val="009A73A7"/>
    <w:rsid w:val="009A7A2A"/>
    <w:rsid w:val="009B2038"/>
    <w:rsid w:val="009C6DEE"/>
    <w:rsid w:val="009D2CDB"/>
    <w:rsid w:val="009D4F31"/>
    <w:rsid w:val="009D5927"/>
    <w:rsid w:val="009D70DB"/>
    <w:rsid w:val="009D77F1"/>
    <w:rsid w:val="009F437F"/>
    <w:rsid w:val="00A1503E"/>
    <w:rsid w:val="00A36B6A"/>
    <w:rsid w:val="00A47964"/>
    <w:rsid w:val="00A60361"/>
    <w:rsid w:val="00A62108"/>
    <w:rsid w:val="00A638F4"/>
    <w:rsid w:val="00A730E2"/>
    <w:rsid w:val="00A7583D"/>
    <w:rsid w:val="00A83EC1"/>
    <w:rsid w:val="00A94D11"/>
    <w:rsid w:val="00A9537F"/>
    <w:rsid w:val="00A9782F"/>
    <w:rsid w:val="00AA2D9C"/>
    <w:rsid w:val="00AA2EB1"/>
    <w:rsid w:val="00AB4348"/>
    <w:rsid w:val="00AC3C06"/>
    <w:rsid w:val="00AC4C97"/>
    <w:rsid w:val="00AD0821"/>
    <w:rsid w:val="00AD5A63"/>
    <w:rsid w:val="00AE6D03"/>
    <w:rsid w:val="00AF0C8F"/>
    <w:rsid w:val="00AF6F49"/>
    <w:rsid w:val="00AF73BF"/>
    <w:rsid w:val="00B036E1"/>
    <w:rsid w:val="00B03729"/>
    <w:rsid w:val="00B15D6C"/>
    <w:rsid w:val="00B20F76"/>
    <w:rsid w:val="00B53E66"/>
    <w:rsid w:val="00B61E7C"/>
    <w:rsid w:val="00B80443"/>
    <w:rsid w:val="00B84B76"/>
    <w:rsid w:val="00B910EE"/>
    <w:rsid w:val="00BA056E"/>
    <w:rsid w:val="00BB6D7A"/>
    <w:rsid w:val="00BC16E2"/>
    <w:rsid w:val="00BD4C08"/>
    <w:rsid w:val="00BF772D"/>
    <w:rsid w:val="00C010FA"/>
    <w:rsid w:val="00C13994"/>
    <w:rsid w:val="00C156C5"/>
    <w:rsid w:val="00C24D2D"/>
    <w:rsid w:val="00C278A5"/>
    <w:rsid w:val="00C35B66"/>
    <w:rsid w:val="00C415D0"/>
    <w:rsid w:val="00C436D3"/>
    <w:rsid w:val="00C54EA3"/>
    <w:rsid w:val="00C60168"/>
    <w:rsid w:val="00C64C98"/>
    <w:rsid w:val="00C67C38"/>
    <w:rsid w:val="00C82313"/>
    <w:rsid w:val="00C94697"/>
    <w:rsid w:val="00C957E6"/>
    <w:rsid w:val="00CB33D0"/>
    <w:rsid w:val="00CD60D7"/>
    <w:rsid w:val="00CF4B42"/>
    <w:rsid w:val="00D011DA"/>
    <w:rsid w:val="00D05262"/>
    <w:rsid w:val="00D128D7"/>
    <w:rsid w:val="00D30B31"/>
    <w:rsid w:val="00D50935"/>
    <w:rsid w:val="00D51C53"/>
    <w:rsid w:val="00D53D16"/>
    <w:rsid w:val="00D64FE3"/>
    <w:rsid w:val="00D6774F"/>
    <w:rsid w:val="00D71C55"/>
    <w:rsid w:val="00D74DF6"/>
    <w:rsid w:val="00D7775E"/>
    <w:rsid w:val="00D876EB"/>
    <w:rsid w:val="00D91A40"/>
    <w:rsid w:val="00D92463"/>
    <w:rsid w:val="00D97A58"/>
    <w:rsid w:val="00DA37DB"/>
    <w:rsid w:val="00DA7FBB"/>
    <w:rsid w:val="00DC2338"/>
    <w:rsid w:val="00DF5DA8"/>
    <w:rsid w:val="00E025C3"/>
    <w:rsid w:val="00E074E8"/>
    <w:rsid w:val="00E15EE3"/>
    <w:rsid w:val="00E178B2"/>
    <w:rsid w:val="00E25BC6"/>
    <w:rsid w:val="00E267C8"/>
    <w:rsid w:val="00E830E5"/>
    <w:rsid w:val="00E85629"/>
    <w:rsid w:val="00E90FE2"/>
    <w:rsid w:val="00EB020D"/>
    <w:rsid w:val="00EB254C"/>
    <w:rsid w:val="00EB2F5A"/>
    <w:rsid w:val="00EB5D55"/>
    <w:rsid w:val="00EC758C"/>
    <w:rsid w:val="00ED031A"/>
    <w:rsid w:val="00ED5507"/>
    <w:rsid w:val="00EE09F6"/>
    <w:rsid w:val="00EE63FB"/>
    <w:rsid w:val="00EF4492"/>
    <w:rsid w:val="00EF5D7B"/>
    <w:rsid w:val="00F02235"/>
    <w:rsid w:val="00F2333C"/>
    <w:rsid w:val="00F25B03"/>
    <w:rsid w:val="00F35EEA"/>
    <w:rsid w:val="00F37BF9"/>
    <w:rsid w:val="00F43A53"/>
    <w:rsid w:val="00F53E66"/>
    <w:rsid w:val="00F632ED"/>
    <w:rsid w:val="00F90118"/>
    <w:rsid w:val="00F9079D"/>
    <w:rsid w:val="00FB2B9E"/>
    <w:rsid w:val="00FC187C"/>
    <w:rsid w:val="00FE55A8"/>
    <w:rsid w:val="00FE5BA8"/>
    <w:rsid w:val="00FE7E43"/>
    <w:rsid w:val="00FF55C8"/>
    <w:rsid w:val="00FF67F9"/>
    <w:rsid w:val="041F5699"/>
    <w:rsid w:val="06A67E6B"/>
    <w:rsid w:val="080407C4"/>
    <w:rsid w:val="09EF5447"/>
    <w:rsid w:val="0ED1413C"/>
    <w:rsid w:val="132C67E2"/>
    <w:rsid w:val="140F2E4A"/>
    <w:rsid w:val="167F2A48"/>
    <w:rsid w:val="181B2628"/>
    <w:rsid w:val="1A3C5ABC"/>
    <w:rsid w:val="1B7D2CDE"/>
    <w:rsid w:val="210A42D5"/>
    <w:rsid w:val="23770662"/>
    <w:rsid w:val="26DA7EA4"/>
    <w:rsid w:val="2FF01822"/>
    <w:rsid w:val="31AB3BD5"/>
    <w:rsid w:val="324837DA"/>
    <w:rsid w:val="37A14BDC"/>
    <w:rsid w:val="37EB6767"/>
    <w:rsid w:val="39DE5BC6"/>
    <w:rsid w:val="3B652F0D"/>
    <w:rsid w:val="3E832EAB"/>
    <w:rsid w:val="41D148C1"/>
    <w:rsid w:val="42832E2D"/>
    <w:rsid w:val="42F02AD9"/>
    <w:rsid w:val="462E5DF2"/>
    <w:rsid w:val="483462A4"/>
    <w:rsid w:val="495C2C76"/>
    <w:rsid w:val="49B36BD3"/>
    <w:rsid w:val="4A1F71D6"/>
    <w:rsid w:val="4F371F35"/>
    <w:rsid w:val="5100482F"/>
    <w:rsid w:val="519A7A59"/>
    <w:rsid w:val="56772E9D"/>
    <w:rsid w:val="59484FC5"/>
    <w:rsid w:val="5B943451"/>
    <w:rsid w:val="5C2A09B2"/>
    <w:rsid w:val="5DA327CA"/>
    <w:rsid w:val="5E8B1409"/>
    <w:rsid w:val="5ECB022A"/>
    <w:rsid w:val="63334E9C"/>
    <w:rsid w:val="64846B00"/>
    <w:rsid w:val="6487730D"/>
    <w:rsid w:val="67AD0415"/>
    <w:rsid w:val="69B17AA6"/>
    <w:rsid w:val="69BE2348"/>
    <w:rsid w:val="6A0961EA"/>
    <w:rsid w:val="72080C08"/>
    <w:rsid w:val="741D7EEB"/>
    <w:rsid w:val="77BB3B58"/>
    <w:rsid w:val="78B95140"/>
    <w:rsid w:val="7AE70D64"/>
    <w:rsid w:val="7B0630C7"/>
    <w:rsid w:val="7BDB1CFE"/>
    <w:rsid w:val="7BDF4EBD"/>
    <w:rsid w:val="7C582096"/>
    <w:rsid w:val="7DF7741D"/>
    <w:rsid w:val="7F84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Cs w:val="21"/>
      <w:lang w:eastAsia="en-US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table" w:customStyle="1" w:styleId="8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9056F0-C57C-403D-B1AA-34E19283BD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1927</Words>
  <Characters>1981</Characters>
  <Lines>14</Lines>
  <Paragraphs>4</Paragraphs>
  <TotalTime>0</TotalTime>
  <ScaleCrop>false</ScaleCrop>
  <LinksUpToDate>false</LinksUpToDate>
  <CharactersWithSpaces>1998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2024-10-14T05:15:00Z</dcterms:created>
  <dc:creator>10219</dc:creator>
  <cp:lastModifiedBy>WPS_1699857115</cp:lastModifiedBy>
  <dcterms:modified xsi:type="dcterms:W3CDTF">2024-10-25T06:31:06Z</dcterms:modified>
  <cp:revision>275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BE8B2DABF5914E379C6D32D2DB109B9A_13</vt:lpwstr>
  </property>
</Properties>
</file>