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28F9A0">
      <w:pPr>
        <w:jc w:val="center"/>
        <w:rPr>
          <w:rFonts w:ascii="宋体" w:hAnsi="宋体" w:eastAsia="宋体" w:cs="宋体"/>
          <w:sz w:val="24"/>
        </w:rPr>
      </w:pPr>
      <w:r>
        <w:rPr>
          <w:rFonts w:hint="eastAsia" w:ascii="微软雅黑" w:hAnsi="微软雅黑" w:eastAsia="微软雅黑" w:cs="微软雅黑"/>
          <w:b/>
          <w:bCs/>
          <w:kern w:val="0"/>
          <w:sz w:val="56"/>
          <w:szCs w:val="56"/>
        </w:rPr>
        <w:t>2025年肯尼亚贸易周(CTW)</w:t>
      </w:r>
    </w:p>
    <w:p w14:paraId="3EB802B8">
      <w:pPr>
        <w:jc w:val="center"/>
        <w:rPr>
          <w:rFonts w:ascii="宋体" w:hAnsi="宋体" w:eastAsia="宋体" w:cs="宋体"/>
          <w:sz w:val="24"/>
        </w:rPr>
      </w:pPr>
      <w:r>
        <w:drawing>
          <wp:inline distT="0" distB="0" distL="0" distR="0">
            <wp:extent cx="2071370" cy="602615"/>
            <wp:effectExtent l="0" t="0" r="0" b="5715"/>
            <wp:docPr id="2" name="图片 2" descr="E:\李姗\MIE\招展资料—改后\2024.6\6.25-27 肯尼亚贸易周  (CTW）\图片1.pn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李姗\MIE\招展资料—改后\2024.6\6.25-27 肯尼亚贸易周  (CTW）\图片1.png图片1"/>
                    <pic:cNvPicPr>
                      <a:picLocks noChangeAspect="1"/>
                    </pic:cNvPicPr>
                  </pic:nvPicPr>
                  <pic:blipFill>
                    <a:blip r:embed="rId4"/>
                    <a:srcRect t="11757" b="11757"/>
                    <a:stretch>
                      <a:fillRect/>
                    </a:stretch>
                  </pic:blipFill>
                  <pic:spPr>
                    <a:xfrm>
                      <a:off x="0" y="0"/>
                      <a:ext cx="2071370" cy="602615"/>
                    </a:xfrm>
                    <a:prstGeom prst="rect">
                      <a:avLst/>
                    </a:prstGeom>
                  </pic:spPr>
                </pic:pic>
              </a:graphicData>
            </a:graphic>
          </wp:inline>
        </w:drawing>
      </w:r>
    </w:p>
    <w:p w14:paraId="79F3614D">
      <w:pPr>
        <w:jc w:val="left"/>
        <w:rPr>
          <w:rFonts w:ascii="微软雅黑" w:hAnsi="微软雅黑" w:eastAsia="微软雅黑" w:cs="微软雅黑"/>
          <w:b/>
          <w:bCs/>
          <w:sz w:val="40"/>
          <w:szCs w:val="40"/>
        </w:rPr>
      </w:pPr>
      <w:r>
        <w:rPr>
          <w:rFonts w:hint="eastAsia" w:ascii="微软雅黑" w:hAnsi="微软雅黑" w:eastAsia="微软雅黑" w:cs="微软雅黑"/>
          <w:b/>
          <w:bCs/>
          <w:sz w:val="40"/>
          <w:szCs w:val="40"/>
        </w:rPr>
        <w:t>展会介绍</w:t>
      </w:r>
    </w:p>
    <w:p w14:paraId="1974362C">
      <w:pPr>
        <w:pStyle w:val="2"/>
        <w:tabs>
          <w:tab w:val="left" w:pos="5460"/>
        </w:tabs>
        <w:jc w:val="left"/>
        <w:rPr>
          <w:b/>
          <w:bCs/>
          <w:color w:val="050E17"/>
          <w:spacing w:val="9"/>
          <w:sz w:val="24"/>
          <w:szCs w:val="24"/>
          <w:lang w:eastAsia="zh-CN"/>
        </w:rPr>
        <w:sectPr>
          <w:pgSz w:w="11906" w:h="16838"/>
          <w:pgMar w:top="1440" w:right="1134" w:bottom="1440" w:left="1134" w:header="851" w:footer="992" w:gutter="0"/>
          <w:cols w:space="425" w:num="1"/>
          <w:docGrid w:type="lines" w:linePitch="312" w:charSpace="0"/>
        </w:sectPr>
      </w:pPr>
    </w:p>
    <w:p w14:paraId="3CE106E4">
      <w:pPr>
        <w:pStyle w:val="2"/>
        <w:tabs>
          <w:tab w:val="left" w:pos="5460"/>
        </w:tabs>
        <w:spacing w:line="360" w:lineRule="exact"/>
        <w:jc w:val="left"/>
        <w:rPr>
          <w:b/>
          <w:bCs/>
          <w:color w:val="050E17"/>
          <w:spacing w:val="9"/>
          <w:lang w:eastAsia="zh-CN"/>
        </w:rPr>
      </w:pPr>
      <w:r>
        <w:rPr>
          <w:b/>
          <w:bCs/>
          <w:color w:val="050E17"/>
          <w:spacing w:val="9"/>
          <w:lang w:eastAsia="zh-CN"/>
        </w:rPr>
        <w:t>展会时间</w:t>
      </w:r>
      <w:r>
        <w:rPr>
          <w:rFonts w:hint="eastAsia"/>
          <w:b/>
          <w:bCs/>
          <w:color w:val="050E17"/>
          <w:spacing w:val="9"/>
          <w:lang w:eastAsia="zh-CN"/>
        </w:rPr>
        <w:t>：2025年7月8-10日</w:t>
      </w:r>
    </w:p>
    <w:p w14:paraId="51F6BFA3">
      <w:pPr>
        <w:pStyle w:val="2"/>
        <w:tabs>
          <w:tab w:val="left" w:pos="5460"/>
        </w:tabs>
        <w:spacing w:line="360" w:lineRule="exact"/>
        <w:jc w:val="left"/>
        <w:rPr>
          <w:b/>
          <w:bCs/>
          <w:color w:val="050E17"/>
          <w:spacing w:val="9"/>
          <w:lang w:eastAsia="zh-CN"/>
        </w:rPr>
      </w:pPr>
      <w:r>
        <w:rPr>
          <w:b/>
          <w:bCs/>
          <w:color w:val="050E17"/>
          <w:spacing w:val="9"/>
          <w:lang w:eastAsia="zh-CN"/>
        </w:rPr>
        <w:t>主办单位</w:t>
      </w:r>
      <w:r>
        <w:rPr>
          <w:rFonts w:hint="eastAsia"/>
          <w:b/>
          <w:bCs/>
          <w:color w:val="050E17"/>
          <w:spacing w:val="9"/>
          <w:lang w:eastAsia="zh-CN"/>
        </w:rPr>
        <w:t>：</w:t>
      </w:r>
      <w:r>
        <w:rPr>
          <w:b/>
          <w:bCs/>
          <w:color w:val="050E17"/>
          <w:spacing w:val="9"/>
          <w:lang w:eastAsia="zh-CN"/>
        </w:rPr>
        <w:t>MIE</w:t>
      </w:r>
      <w:r>
        <w:rPr>
          <w:rFonts w:hint="eastAsia"/>
          <w:b/>
          <w:bCs/>
          <w:color w:val="050E17"/>
          <w:spacing w:val="9"/>
          <w:lang w:eastAsia="zh-CN"/>
        </w:rPr>
        <w:t xml:space="preserve"> </w:t>
      </w:r>
    </w:p>
    <w:p w14:paraId="6518D67D">
      <w:pPr>
        <w:pStyle w:val="2"/>
        <w:tabs>
          <w:tab w:val="left" w:pos="5460"/>
        </w:tabs>
        <w:spacing w:line="360" w:lineRule="exact"/>
        <w:jc w:val="left"/>
        <w:rPr>
          <w:b/>
          <w:bCs/>
          <w:color w:val="050E17"/>
          <w:spacing w:val="9"/>
          <w:lang w:eastAsia="zh-CN"/>
        </w:rPr>
      </w:pPr>
      <w:r>
        <w:rPr>
          <w:rFonts w:hint="eastAsia"/>
          <w:b/>
          <w:bCs/>
          <w:color w:val="050E17"/>
          <w:spacing w:val="9"/>
          <w:lang w:eastAsia="zh-CN"/>
        </w:rPr>
        <w:t xml:space="preserve">展会地点：肯雅塔国际会展中心(KICC)     </w:t>
      </w:r>
    </w:p>
    <w:p w14:paraId="270F53E1">
      <w:pPr>
        <w:pStyle w:val="2"/>
        <w:tabs>
          <w:tab w:val="left" w:pos="5460"/>
        </w:tabs>
        <w:spacing w:line="360" w:lineRule="exact"/>
        <w:jc w:val="left"/>
        <w:rPr>
          <w:b/>
          <w:bCs/>
          <w:color w:val="050E17"/>
          <w:spacing w:val="9"/>
          <w:lang w:eastAsia="zh-CN"/>
        </w:rPr>
        <w:sectPr>
          <w:type w:val="continuous"/>
          <w:pgSz w:w="11906" w:h="16838"/>
          <w:pgMar w:top="1440" w:right="1134" w:bottom="1440" w:left="1134" w:header="851" w:footer="992" w:gutter="0"/>
          <w:cols w:equalWidth="0" w:num="2">
            <w:col w:w="5025" w:space="7"/>
            <w:col w:w="4606"/>
          </w:cols>
          <w:docGrid w:type="lines" w:linePitch="312" w:charSpace="0"/>
        </w:sectPr>
      </w:pPr>
      <w:r>
        <w:rPr>
          <w:rFonts w:hint="eastAsia"/>
          <w:b/>
          <w:bCs/>
          <w:color w:val="050E17"/>
          <w:spacing w:val="9"/>
          <w:lang w:eastAsia="zh-CN"/>
        </w:rPr>
        <w:t>举办周期：第十</w:t>
      </w:r>
      <w:r>
        <w:rPr>
          <w:b/>
          <w:bCs/>
          <w:color w:val="050E17"/>
          <w:spacing w:val="9"/>
          <w:lang w:eastAsia="zh-CN"/>
        </w:rPr>
        <w:t>届</w:t>
      </w:r>
    </w:p>
    <w:p w14:paraId="2FDD1CCA">
      <w:pPr>
        <w:widowControl/>
        <w:kinsoku w:val="0"/>
        <w:autoSpaceDE w:val="0"/>
        <w:autoSpaceDN w:val="0"/>
        <w:adjustRightInd w:val="0"/>
        <w:textAlignment w:val="baseline"/>
        <w:rPr>
          <w:b/>
          <w:bCs/>
          <w:color w:val="050E17"/>
          <w:spacing w:val="9"/>
          <w:sz w:val="24"/>
        </w:rPr>
      </w:pPr>
    </w:p>
    <w:p w14:paraId="730983E2">
      <w:pPr>
        <w:widowControl/>
        <w:kinsoku w:val="0"/>
        <w:autoSpaceDE w:val="0"/>
        <w:autoSpaceDN w:val="0"/>
        <w:adjustRightInd w:val="0"/>
        <w:snapToGrid w:val="0"/>
        <w:spacing w:line="360" w:lineRule="auto"/>
        <w:textAlignment w:val="baseline"/>
        <w:rPr>
          <w:rFonts w:ascii="微软雅黑" w:hAnsi="微软雅黑" w:eastAsia="微软雅黑"/>
          <w:sz w:val="24"/>
        </w:rPr>
      </w:pPr>
      <w:r>
        <w:rPr>
          <w:rFonts w:ascii="微软雅黑" w:hAnsi="微软雅黑" w:eastAsia="微软雅黑"/>
          <w:sz w:val="24"/>
        </w:rPr>
        <w:drawing>
          <wp:inline distT="0" distB="0" distL="0" distR="0">
            <wp:extent cx="6142355" cy="297307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cstate="print">
                      <a:extLst>
                        <a:ext uri="{28A0092B-C50C-407E-A947-70E740481C1C}">
                          <a14:useLocalDpi xmlns:a14="http://schemas.microsoft.com/office/drawing/2010/main" val="0"/>
                        </a:ext>
                      </a:extLst>
                    </a:blip>
                    <a:srcRect t="8116" b="13049"/>
                    <a:stretch>
                      <a:fillRect/>
                    </a:stretch>
                  </pic:blipFill>
                  <pic:spPr>
                    <a:xfrm>
                      <a:off x="0" y="0"/>
                      <a:ext cx="6142355" cy="2973070"/>
                    </a:xfrm>
                    <a:prstGeom prst="rect">
                      <a:avLst/>
                    </a:prstGeom>
                    <a:ln>
                      <a:noFill/>
                    </a:ln>
                  </pic:spPr>
                </pic:pic>
              </a:graphicData>
            </a:graphic>
          </wp:inline>
        </w:drawing>
      </w:r>
    </w:p>
    <w:p w14:paraId="4448EEC6">
      <w:pPr>
        <w:widowControl/>
        <w:kinsoku w:val="0"/>
        <w:autoSpaceDE w:val="0"/>
        <w:autoSpaceDN w:val="0"/>
        <w:adjustRightInd w:val="0"/>
        <w:snapToGrid w:val="0"/>
        <w:spacing w:line="360" w:lineRule="exact"/>
        <w:ind w:firstLine="420" w:firstLineChars="200"/>
        <w:textAlignment w:val="baseline"/>
        <w:rPr>
          <w:rFonts w:ascii="微软雅黑" w:hAnsi="微软雅黑" w:eastAsia="微软雅黑"/>
          <w:szCs w:val="21"/>
        </w:rPr>
      </w:pPr>
      <w:r>
        <w:rPr>
          <w:rFonts w:hint="eastAsia" w:ascii="微软雅黑" w:hAnsi="微软雅黑" w:eastAsia="微软雅黑"/>
          <w:szCs w:val="21"/>
        </w:rPr>
        <w:t>“肯尼亚贸易周</w:t>
      </w:r>
      <w:r>
        <w:rPr>
          <w:rFonts w:ascii="微软雅黑" w:hAnsi="微软雅黑" w:eastAsia="微软雅黑"/>
          <w:szCs w:val="21"/>
        </w:rPr>
        <w:t>CTW KENYA</w:t>
      </w:r>
      <w:r>
        <w:rPr>
          <w:rFonts w:hint="eastAsia" w:ascii="微软雅黑" w:hAnsi="微软雅黑" w:eastAsia="微软雅黑"/>
          <w:szCs w:val="21"/>
        </w:rPr>
        <w:t>”是由中国国际商会倡议和指导，MIE EVENTS DMCC在肯尼亚举办的以“优质中国商品”为主题的展览会、研讨会和文化交流会。自2015年起，已连续在肯尼亚成功举办九届，在当地采购商、华人企业以及媒体之间具有较大影响力，是第一个通过国际展览联盟UFI认证的展会，成为中国企业走进中东非市场的知名品牌。展出商品涉及日用品、食品、轻工业、建筑建材、医药、汽车零部件、信息产业、农业机械、塑胶印包以及安防科技等多个领域。肯尼亚是非洲在人工智能、机器人和无人机等颠覆性技术领域最先进的国家之一。该国拥有活跃的数字初创企业和投资环境。肯尼亚是非洲在技术领域最先进的国家之一，肯尼亚的数字化转型行业生机勃勃，发展迅速，许多学校已将机器人技术纳入课程。</w:t>
      </w:r>
    </w:p>
    <w:p w14:paraId="7775B4C2">
      <w:pPr>
        <w:widowControl/>
        <w:kinsoku w:val="0"/>
        <w:autoSpaceDE w:val="0"/>
        <w:autoSpaceDN w:val="0"/>
        <w:adjustRightInd w:val="0"/>
        <w:snapToGrid w:val="0"/>
        <w:spacing w:line="360" w:lineRule="exact"/>
        <w:ind w:firstLine="420" w:firstLineChars="200"/>
        <w:textAlignment w:val="baseline"/>
        <w:rPr>
          <w:rFonts w:ascii="微软雅黑" w:hAnsi="微软雅黑" w:eastAsia="微软雅黑"/>
          <w:szCs w:val="21"/>
        </w:rPr>
      </w:pPr>
      <w:r>
        <w:rPr>
          <w:rFonts w:hint="eastAsia" w:ascii="微软雅黑" w:hAnsi="微软雅黑" w:eastAsia="微软雅黑"/>
          <w:szCs w:val="21"/>
        </w:rPr>
        <w:t>肯尼亚CTW是东非规模最大、影响最广的展会，被誉为“非洲的广交会”。在当地采购商、华人企业及媒体之间具有较大的影响力，是中国企业走进中东非市场的知名展会品牌。</w:t>
      </w:r>
    </w:p>
    <w:p w14:paraId="16696040">
      <w:pPr>
        <w:widowControl/>
        <w:kinsoku w:val="0"/>
        <w:autoSpaceDE w:val="0"/>
        <w:autoSpaceDN w:val="0"/>
        <w:adjustRightInd w:val="0"/>
        <w:snapToGrid w:val="0"/>
        <w:spacing w:line="360" w:lineRule="exact"/>
        <w:ind w:firstLine="420" w:firstLineChars="200"/>
        <w:textAlignment w:val="baseline"/>
        <w:rPr>
          <w:rFonts w:ascii="微软雅黑" w:hAnsi="微软雅黑" w:eastAsia="微软雅黑"/>
          <w:szCs w:val="21"/>
        </w:rPr>
      </w:pPr>
      <w:r>
        <w:rPr>
          <w:rFonts w:hint="eastAsia" w:ascii="微软雅黑" w:hAnsi="微软雅黑" w:eastAsia="微软雅黑"/>
          <w:szCs w:val="21"/>
        </w:rPr>
        <w:t>2024年第九届肯尼亚贸易周于</w:t>
      </w:r>
      <w:r>
        <w:rPr>
          <w:rFonts w:ascii="微软雅黑" w:hAnsi="微软雅黑" w:eastAsia="微软雅黑"/>
          <w:szCs w:val="21"/>
        </w:rPr>
        <w:t>10</w:t>
      </w:r>
      <w:r>
        <w:rPr>
          <w:rFonts w:hint="eastAsia" w:ascii="微软雅黑" w:hAnsi="微软雅黑" w:eastAsia="微软雅黑"/>
          <w:szCs w:val="21"/>
        </w:rPr>
        <w:t>月0</w:t>
      </w:r>
      <w:r>
        <w:rPr>
          <w:rFonts w:ascii="微软雅黑" w:hAnsi="微软雅黑" w:eastAsia="微软雅黑"/>
          <w:szCs w:val="21"/>
        </w:rPr>
        <w:t>2</w:t>
      </w:r>
      <w:r>
        <w:rPr>
          <w:rFonts w:hint="eastAsia" w:ascii="微软雅黑" w:hAnsi="微软雅黑" w:eastAsia="微软雅黑"/>
          <w:szCs w:val="21"/>
        </w:rPr>
        <w:t>-</w:t>
      </w:r>
      <w:r>
        <w:rPr>
          <w:rFonts w:ascii="微软雅黑" w:hAnsi="微软雅黑" w:eastAsia="微软雅黑"/>
          <w:szCs w:val="21"/>
        </w:rPr>
        <w:t>04</w:t>
      </w:r>
      <w:r>
        <w:rPr>
          <w:rFonts w:hint="eastAsia" w:ascii="微软雅黑" w:hAnsi="微软雅黑" w:eastAsia="微软雅黑"/>
          <w:szCs w:val="21"/>
        </w:rPr>
        <w:t>日在肯尼亚EDGE会议中心举办，吸引来自全球20多个国家的300余家展商参展，展出面积达15,000平方米，展会同期还请到行业领导进行多场演讲，方便企业了解最新行业趋势并在探讨交流中促成合作。众多参展商已经明确表示，下次展会他们一定还会积极参与，继续在这里展示他们的创新成果，与行业同仁共同推动行业的蓬勃发展。</w:t>
      </w:r>
    </w:p>
    <w:p w14:paraId="77F8BB10">
      <w:pPr>
        <w:widowControl/>
        <w:kinsoku w:val="0"/>
        <w:autoSpaceDE w:val="0"/>
        <w:autoSpaceDN w:val="0"/>
        <w:adjustRightInd w:val="0"/>
        <w:snapToGrid w:val="0"/>
        <w:spacing w:line="360" w:lineRule="exact"/>
        <w:ind w:firstLine="420" w:firstLineChars="200"/>
        <w:textAlignment w:val="baseline"/>
        <w:rPr>
          <w:rFonts w:ascii="微软雅黑" w:hAnsi="微软雅黑" w:eastAsia="微软雅黑"/>
          <w:szCs w:val="21"/>
        </w:rPr>
      </w:pPr>
      <w:r>
        <w:rPr>
          <w:rFonts w:hint="eastAsia" w:ascii="微软雅黑" w:hAnsi="微软雅黑" w:eastAsia="微软雅黑"/>
          <w:szCs w:val="21"/>
        </w:rPr>
        <w:t>2025年</w:t>
      </w:r>
      <w:r>
        <w:rPr>
          <w:rFonts w:ascii="微软雅黑" w:hAnsi="微软雅黑" w:eastAsia="微软雅黑"/>
          <w:szCs w:val="21"/>
        </w:rPr>
        <w:t>第十届肯尼亚贸易周将于7</w:t>
      </w:r>
      <w:r>
        <w:rPr>
          <w:rFonts w:hint="eastAsia" w:ascii="微软雅黑" w:hAnsi="微软雅黑" w:eastAsia="微软雅黑"/>
          <w:szCs w:val="21"/>
        </w:rPr>
        <w:t>月</w:t>
      </w:r>
      <w:r>
        <w:rPr>
          <w:rFonts w:hint="eastAsia" w:ascii="微软雅黑" w:hAnsi="微软雅黑" w:eastAsia="微软雅黑"/>
          <w:szCs w:val="21"/>
          <w:lang w:val="en-US" w:eastAsia="zh-CN"/>
        </w:rPr>
        <w:t>8-10日</w:t>
      </w:r>
      <w:bookmarkStart w:id="0" w:name="_GoBack"/>
      <w:bookmarkEnd w:id="0"/>
      <w:r>
        <w:rPr>
          <w:rFonts w:hint="eastAsia" w:ascii="微软雅黑" w:hAnsi="微软雅黑" w:eastAsia="微软雅黑"/>
          <w:szCs w:val="21"/>
        </w:rPr>
        <w:t>在肯雅塔国际会展中心(KICC)</w:t>
      </w:r>
      <w:r>
        <w:rPr>
          <w:rFonts w:ascii="微软雅黑" w:hAnsi="微软雅黑" w:eastAsia="微软雅黑"/>
          <w:szCs w:val="21"/>
        </w:rPr>
        <w:t>举办，</w:t>
      </w:r>
      <w:r>
        <w:rPr>
          <w:rFonts w:hint="eastAsia" w:ascii="微软雅黑" w:hAnsi="微软雅黑" w:eastAsia="微软雅黑"/>
          <w:szCs w:val="21"/>
        </w:rPr>
        <w:t>随着行业的不断发展，更多的企业意识到肯尼亚</w:t>
      </w:r>
      <w:r>
        <w:rPr>
          <w:rFonts w:ascii="微软雅黑" w:hAnsi="微软雅黑" w:eastAsia="微软雅黑"/>
          <w:szCs w:val="21"/>
        </w:rPr>
        <w:t>市场</w:t>
      </w:r>
      <w:r>
        <w:rPr>
          <w:rFonts w:hint="eastAsia" w:ascii="微软雅黑" w:hAnsi="微软雅黑" w:eastAsia="微软雅黑"/>
          <w:szCs w:val="21"/>
        </w:rPr>
        <w:t>的重要性，展会将吸引</w:t>
      </w:r>
      <w:r>
        <w:rPr>
          <w:rFonts w:ascii="微软雅黑" w:hAnsi="微软雅黑" w:eastAsia="微软雅黑"/>
          <w:szCs w:val="21"/>
        </w:rPr>
        <w:t>更多</w:t>
      </w:r>
      <w:r>
        <w:rPr>
          <w:rFonts w:hint="eastAsia" w:ascii="微软雅黑" w:hAnsi="微软雅黑" w:eastAsia="微软雅黑"/>
          <w:szCs w:val="21"/>
        </w:rPr>
        <w:t>行业内的领军企业、创新型企业或具有独特竞争力的企业，预计</w:t>
      </w:r>
      <w:r>
        <w:rPr>
          <w:rFonts w:ascii="微软雅黑" w:hAnsi="微软雅黑" w:eastAsia="微软雅黑"/>
          <w:szCs w:val="21"/>
        </w:rPr>
        <w:t>会有</w:t>
      </w:r>
      <w:r>
        <w:rPr>
          <w:rFonts w:hint="eastAsia" w:ascii="微软雅黑" w:hAnsi="微软雅黑" w:eastAsia="微软雅黑"/>
          <w:szCs w:val="21"/>
        </w:rPr>
        <w:t>来自全球行业</w:t>
      </w:r>
      <w:r>
        <w:rPr>
          <w:rFonts w:ascii="微软雅黑" w:hAnsi="微软雅黑" w:eastAsia="微软雅黑"/>
          <w:szCs w:val="21"/>
        </w:rPr>
        <w:t>的560</w:t>
      </w:r>
      <w:r>
        <w:rPr>
          <w:rFonts w:hint="eastAsia" w:ascii="微软雅黑" w:hAnsi="微软雅黑" w:eastAsia="微软雅黑"/>
          <w:szCs w:val="21"/>
        </w:rPr>
        <w:t>多家</w:t>
      </w:r>
      <w:r>
        <w:rPr>
          <w:rFonts w:ascii="微软雅黑" w:hAnsi="微软雅黑" w:eastAsia="微软雅黑"/>
          <w:szCs w:val="21"/>
        </w:rPr>
        <w:t>展商一起亮相</w:t>
      </w:r>
      <w:r>
        <w:rPr>
          <w:rFonts w:hint="eastAsia" w:ascii="微软雅黑" w:hAnsi="微软雅黑" w:eastAsia="微软雅黑"/>
          <w:szCs w:val="21"/>
        </w:rPr>
        <w:t>第十届</w:t>
      </w:r>
      <w:r>
        <w:rPr>
          <w:rFonts w:ascii="微软雅黑" w:hAnsi="微软雅黑" w:eastAsia="微软雅黑"/>
          <w:szCs w:val="21"/>
        </w:rPr>
        <w:t>肯尼亚贸易周。</w:t>
      </w:r>
    </w:p>
    <w:tbl>
      <w:tblPr>
        <w:tblStyle w:val="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387"/>
        <w:gridCol w:w="2420"/>
        <w:gridCol w:w="2414"/>
        <w:gridCol w:w="2427"/>
      </w:tblGrid>
      <w:tr w14:paraId="0BA501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jc w:val="center"/>
        </w:trPr>
        <w:tc>
          <w:tcPr>
            <w:tcW w:w="1237" w:type="pct"/>
            <w:shd w:val="clear" w:color="auto" w:fill="4069DD"/>
            <w:vAlign w:val="center"/>
          </w:tcPr>
          <w:p w14:paraId="170FC33E">
            <w:pPr>
              <w:spacing w:before="211" w:line="190" w:lineRule="auto"/>
              <w:ind w:left="685"/>
              <w:rPr>
                <w:rFonts w:ascii="微软雅黑" w:hAnsi="微软雅黑" w:eastAsia="微软雅黑" w:cs="微软雅黑"/>
                <w:szCs w:val="21"/>
              </w:rPr>
            </w:pPr>
            <w:r>
              <w:rPr>
                <w:rFonts w:ascii="微软雅黑" w:hAnsi="微软雅黑" w:eastAsia="微软雅黑" w:cs="微软雅黑"/>
                <w:color w:val="FFFFFF"/>
                <w:spacing w:val="3"/>
                <w:szCs w:val="21"/>
              </w:rPr>
              <w:t>国际展商</w:t>
            </w:r>
          </w:p>
        </w:tc>
        <w:tc>
          <w:tcPr>
            <w:tcW w:w="1254" w:type="pct"/>
            <w:shd w:val="clear" w:color="auto" w:fill="4069DD"/>
            <w:vAlign w:val="center"/>
          </w:tcPr>
          <w:p w14:paraId="440FB58D">
            <w:pPr>
              <w:spacing w:before="210" w:line="189" w:lineRule="auto"/>
              <w:ind w:left="681"/>
              <w:rPr>
                <w:rFonts w:ascii="微软雅黑" w:hAnsi="微软雅黑" w:eastAsia="微软雅黑" w:cs="微软雅黑"/>
                <w:szCs w:val="21"/>
              </w:rPr>
            </w:pPr>
            <w:r>
              <w:rPr>
                <w:rFonts w:ascii="微软雅黑" w:hAnsi="微软雅黑" w:eastAsia="微软雅黑" w:cs="微软雅黑"/>
                <w:color w:val="FFFFFF"/>
                <w:spacing w:val="6"/>
                <w:szCs w:val="21"/>
              </w:rPr>
              <w:t>参展人数</w:t>
            </w:r>
          </w:p>
        </w:tc>
        <w:tc>
          <w:tcPr>
            <w:tcW w:w="1251" w:type="pct"/>
            <w:shd w:val="clear" w:color="auto" w:fill="4069DD"/>
            <w:vAlign w:val="center"/>
          </w:tcPr>
          <w:p w14:paraId="78D3ED42">
            <w:pPr>
              <w:spacing w:before="210" w:line="191" w:lineRule="auto"/>
              <w:ind w:left="678"/>
              <w:rPr>
                <w:rFonts w:ascii="微软雅黑" w:hAnsi="微软雅黑" w:eastAsia="微软雅黑" w:cs="微软雅黑"/>
                <w:szCs w:val="21"/>
              </w:rPr>
            </w:pPr>
            <w:r>
              <w:rPr>
                <w:rFonts w:ascii="微软雅黑" w:hAnsi="微软雅黑" w:eastAsia="微软雅黑" w:cs="微软雅黑"/>
                <w:color w:val="FFFFFF"/>
                <w:spacing w:val="6"/>
                <w:szCs w:val="21"/>
              </w:rPr>
              <w:t>辐射国家</w:t>
            </w:r>
          </w:p>
        </w:tc>
        <w:tc>
          <w:tcPr>
            <w:tcW w:w="1258" w:type="pct"/>
            <w:shd w:val="clear" w:color="auto" w:fill="4069DD"/>
            <w:vAlign w:val="center"/>
          </w:tcPr>
          <w:p w14:paraId="60875DDD">
            <w:pPr>
              <w:spacing w:before="211" w:line="189" w:lineRule="auto"/>
              <w:ind w:left="679"/>
              <w:rPr>
                <w:rFonts w:ascii="微软雅黑" w:hAnsi="微软雅黑" w:eastAsia="微软雅黑" w:cs="微软雅黑"/>
                <w:szCs w:val="21"/>
              </w:rPr>
            </w:pPr>
            <w:r>
              <w:rPr>
                <w:rFonts w:hint="eastAsia" w:ascii="微软雅黑" w:hAnsi="微软雅黑" w:eastAsia="微软雅黑" w:cs="微软雅黑"/>
                <w:color w:val="FFFFFF"/>
                <w:spacing w:val="7"/>
                <w:szCs w:val="21"/>
              </w:rPr>
              <w:t>B</w:t>
            </w:r>
            <w:r>
              <w:rPr>
                <w:rFonts w:ascii="微软雅黑" w:hAnsi="微软雅黑" w:eastAsia="微软雅黑" w:cs="微软雅黑"/>
                <w:color w:val="FFFFFF"/>
                <w:spacing w:val="7"/>
                <w:szCs w:val="21"/>
              </w:rPr>
              <w:t>2B</w:t>
            </w:r>
            <w:r>
              <w:rPr>
                <w:rFonts w:hint="eastAsia" w:ascii="微软雅黑" w:hAnsi="微软雅黑" w:eastAsia="微软雅黑" w:cs="微软雅黑"/>
                <w:color w:val="FFFFFF"/>
                <w:spacing w:val="7"/>
                <w:szCs w:val="21"/>
              </w:rPr>
              <w:t>会议</w:t>
            </w:r>
          </w:p>
        </w:tc>
      </w:tr>
      <w:tr w14:paraId="238285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jc w:val="center"/>
        </w:trPr>
        <w:tc>
          <w:tcPr>
            <w:tcW w:w="1237" w:type="pct"/>
            <w:vAlign w:val="center"/>
          </w:tcPr>
          <w:p w14:paraId="30282858">
            <w:pPr>
              <w:spacing w:before="227" w:line="214" w:lineRule="auto"/>
              <w:ind w:left="826"/>
              <w:rPr>
                <w:rFonts w:ascii="微软雅黑" w:hAnsi="微软雅黑" w:eastAsia="微软雅黑" w:cs="微软雅黑"/>
                <w:szCs w:val="21"/>
              </w:rPr>
            </w:pPr>
            <w:r>
              <w:rPr>
                <w:rFonts w:ascii="微软雅黑" w:hAnsi="微软雅黑" w:eastAsia="微软雅黑" w:cs="微软雅黑"/>
                <w:spacing w:val="-8"/>
                <w:szCs w:val="21"/>
              </w:rPr>
              <w:t>560+</w:t>
            </w:r>
          </w:p>
        </w:tc>
        <w:tc>
          <w:tcPr>
            <w:tcW w:w="1254" w:type="pct"/>
            <w:vAlign w:val="center"/>
          </w:tcPr>
          <w:p w14:paraId="3D2AA166">
            <w:pPr>
              <w:spacing w:before="225" w:line="197" w:lineRule="auto"/>
              <w:jc w:val="center"/>
              <w:rPr>
                <w:rFonts w:ascii="微软雅黑" w:hAnsi="微软雅黑" w:eastAsia="微软雅黑" w:cs="微软雅黑"/>
                <w:szCs w:val="21"/>
              </w:rPr>
            </w:pPr>
            <w:r>
              <w:rPr>
                <w:rFonts w:ascii="微软雅黑" w:hAnsi="微软雅黑" w:eastAsia="微软雅黑" w:cs="微软雅黑"/>
                <w:spacing w:val="-3"/>
                <w:szCs w:val="21"/>
              </w:rPr>
              <w:t>2</w:t>
            </w:r>
            <w:r>
              <w:rPr>
                <w:rFonts w:hint="eastAsia" w:ascii="微软雅黑" w:hAnsi="微软雅黑" w:eastAsia="微软雅黑" w:cs="微软雅黑"/>
                <w:spacing w:val="-3"/>
                <w:szCs w:val="21"/>
              </w:rPr>
              <w:t>,</w:t>
            </w:r>
            <w:r>
              <w:rPr>
                <w:rFonts w:ascii="微软雅黑" w:hAnsi="微软雅黑" w:eastAsia="微软雅黑" w:cs="微软雅黑"/>
                <w:spacing w:val="-3"/>
                <w:szCs w:val="21"/>
              </w:rPr>
              <w:t>70</w:t>
            </w:r>
            <w:r>
              <w:rPr>
                <w:rFonts w:hint="eastAsia" w:ascii="微软雅黑" w:hAnsi="微软雅黑" w:eastAsia="微软雅黑" w:cs="微软雅黑"/>
                <w:spacing w:val="-3"/>
                <w:szCs w:val="21"/>
              </w:rPr>
              <w:t>0</w:t>
            </w:r>
            <w:r>
              <w:rPr>
                <w:rFonts w:ascii="微软雅黑" w:hAnsi="微软雅黑" w:eastAsia="微软雅黑" w:cs="微软雅黑"/>
                <w:spacing w:val="-3"/>
                <w:szCs w:val="21"/>
              </w:rPr>
              <w:t>+</w:t>
            </w:r>
          </w:p>
        </w:tc>
        <w:tc>
          <w:tcPr>
            <w:tcW w:w="1251" w:type="pct"/>
            <w:vAlign w:val="center"/>
          </w:tcPr>
          <w:p w14:paraId="458417EE">
            <w:pPr>
              <w:spacing w:before="227" w:line="214" w:lineRule="auto"/>
              <w:ind w:left="933"/>
              <w:rPr>
                <w:rFonts w:ascii="微软雅黑" w:hAnsi="微软雅黑" w:eastAsia="微软雅黑" w:cs="微软雅黑"/>
                <w:szCs w:val="21"/>
              </w:rPr>
            </w:pPr>
            <w:r>
              <w:rPr>
                <w:rFonts w:ascii="微软雅黑" w:hAnsi="微软雅黑" w:eastAsia="微软雅黑" w:cs="微软雅黑"/>
                <w:spacing w:val="-10"/>
                <w:szCs w:val="21"/>
              </w:rPr>
              <w:t>12+</w:t>
            </w:r>
          </w:p>
        </w:tc>
        <w:tc>
          <w:tcPr>
            <w:tcW w:w="1258" w:type="pct"/>
            <w:vAlign w:val="center"/>
          </w:tcPr>
          <w:p w14:paraId="5D1529CD">
            <w:pPr>
              <w:spacing w:before="225" w:line="197" w:lineRule="auto"/>
              <w:jc w:val="center"/>
              <w:rPr>
                <w:rFonts w:ascii="微软雅黑" w:hAnsi="微软雅黑" w:eastAsia="微软雅黑" w:cs="微软雅黑"/>
                <w:szCs w:val="21"/>
              </w:rPr>
            </w:pPr>
            <w:r>
              <w:rPr>
                <w:rFonts w:hint="eastAsia" w:ascii="微软雅黑" w:hAnsi="微软雅黑" w:eastAsia="微软雅黑" w:cs="微软雅黑"/>
                <w:spacing w:val="-3"/>
                <w:szCs w:val="21"/>
              </w:rPr>
              <w:t>1</w:t>
            </w:r>
            <w:r>
              <w:rPr>
                <w:rFonts w:ascii="微软雅黑" w:hAnsi="微软雅黑" w:eastAsia="微软雅黑" w:cs="微软雅黑"/>
                <w:spacing w:val="-3"/>
                <w:szCs w:val="21"/>
              </w:rPr>
              <w:t>,000+</w:t>
            </w:r>
          </w:p>
        </w:tc>
      </w:tr>
    </w:tbl>
    <w:p w14:paraId="44D662FA">
      <w:pPr>
        <w:widowControl/>
        <w:kinsoku w:val="0"/>
        <w:autoSpaceDE w:val="0"/>
        <w:autoSpaceDN w:val="0"/>
        <w:adjustRightInd w:val="0"/>
        <w:snapToGrid w:val="0"/>
        <w:spacing w:line="360" w:lineRule="auto"/>
        <w:textAlignment w:val="baseline"/>
        <w:rPr>
          <w:rFonts w:ascii="微软雅黑" w:hAnsi="微软雅黑" w:eastAsia="微软雅黑"/>
          <w:sz w:val="24"/>
        </w:rPr>
      </w:pPr>
    </w:p>
    <w:p w14:paraId="14ED5F88">
      <w:pPr>
        <w:widowControl/>
        <w:kinsoku w:val="0"/>
        <w:autoSpaceDE w:val="0"/>
        <w:autoSpaceDN w:val="0"/>
        <w:adjustRightInd w:val="0"/>
        <w:spacing w:line="360" w:lineRule="auto"/>
        <w:textAlignment w:val="baseline"/>
        <w:rPr>
          <w:rFonts w:ascii="宋体" w:hAnsi="宋体" w:eastAsia="宋体" w:cs="宋体"/>
          <w:szCs w:val="21"/>
        </w:rPr>
      </w:pPr>
      <w:r>
        <w:rPr>
          <w:rFonts w:hint="eastAsia" w:ascii="微软雅黑" w:hAnsi="微软雅黑" w:eastAsia="微软雅黑" w:cs="微软雅黑"/>
          <w:b/>
          <w:bCs/>
          <w:sz w:val="40"/>
          <w:szCs w:val="40"/>
        </w:rPr>
        <w:t>市场机遇</w:t>
      </w:r>
    </w:p>
    <w:p w14:paraId="39B03AA3">
      <w:pPr>
        <w:widowControl/>
        <w:kinsoku w:val="0"/>
        <w:autoSpaceDE w:val="0"/>
        <w:autoSpaceDN w:val="0"/>
        <w:adjustRightInd w:val="0"/>
        <w:spacing w:line="360" w:lineRule="auto"/>
        <w:jc w:val="center"/>
        <w:textAlignment w:val="baseline"/>
        <w:rPr>
          <w:rFonts w:ascii="微软雅黑" w:hAnsi="微软雅黑" w:eastAsia="微软雅黑" w:cs="微软雅黑"/>
          <w:b/>
          <w:bCs/>
          <w:sz w:val="40"/>
          <w:szCs w:val="40"/>
        </w:rPr>
      </w:pPr>
      <w:r>
        <w:rPr>
          <w:rFonts w:ascii="宋体" w:hAnsi="宋体" w:eastAsia="宋体" w:cs="宋体"/>
          <w:szCs w:val="21"/>
        </w:rPr>
        <w:drawing>
          <wp:inline distT="0" distB="0" distL="0" distR="0">
            <wp:extent cx="5956300" cy="3035935"/>
            <wp:effectExtent l="0" t="0" r="635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6">
                      <a:extLst>
                        <a:ext uri="{28A0092B-C50C-407E-A947-70E740481C1C}">
                          <a14:useLocalDpi xmlns:a14="http://schemas.microsoft.com/office/drawing/2010/main" val="0"/>
                        </a:ext>
                      </a:extLst>
                    </a:blip>
                    <a:srcRect t="12944" b="9822"/>
                    <a:stretch>
                      <a:fillRect/>
                    </a:stretch>
                  </pic:blipFill>
                  <pic:spPr>
                    <a:xfrm>
                      <a:off x="0" y="0"/>
                      <a:ext cx="5983962" cy="3050286"/>
                    </a:xfrm>
                    <a:prstGeom prst="rect">
                      <a:avLst/>
                    </a:prstGeom>
                    <a:noFill/>
                    <a:ln>
                      <a:noFill/>
                    </a:ln>
                  </pic:spPr>
                </pic:pic>
              </a:graphicData>
            </a:graphic>
          </wp:inline>
        </w:drawing>
      </w:r>
    </w:p>
    <w:p w14:paraId="3D2B87F0">
      <w:pPr>
        <w:widowControl/>
        <w:kinsoku w:val="0"/>
        <w:autoSpaceDE w:val="0"/>
        <w:autoSpaceDN w:val="0"/>
        <w:adjustRightInd w:val="0"/>
        <w:spacing w:line="360" w:lineRule="exact"/>
        <w:ind w:firstLine="420" w:firstLineChars="200"/>
        <w:textAlignment w:val="baseline"/>
        <w:rPr>
          <w:rFonts w:ascii="微软雅黑" w:hAnsi="微软雅黑" w:eastAsia="微软雅黑"/>
          <w:szCs w:val="21"/>
        </w:rPr>
      </w:pPr>
      <w:r>
        <w:rPr>
          <w:rFonts w:hint="eastAsia" w:ascii="微软雅黑" w:hAnsi="微软雅黑" w:eastAsia="微软雅黑"/>
          <w:szCs w:val="21"/>
        </w:rPr>
        <w:t>肯尼亚是近年全球增长最快的经济体之一。该国是区内多个贸易共同体的成员，加上沿海城市蒙巴萨地理位置优越，因此常被称为东非主要的经济和商业枢纽。肯尼亚以服务业为主要增长动力，运输基础设施有所改善，便利营商的改革措施也持续推行，有助巩固引人注目的经济发展，并为企业和投资者提供大量机遇。专家预测，随着品牌建设的加强和技能基础的扩大，肯尼亚业务流程外包 (BPO) 行业预计将在五年内从目前的 36,000 个就业岗位增至 100 万个。</w:t>
      </w:r>
    </w:p>
    <w:p w14:paraId="38CE8716">
      <w:pPr>
        <w:widowControl/>
        <w:kinsoku w:val="0"/>
        <w:autoSpaceDE w:val="0"/>
        <w:autoSpaceDN w:val="0"/>
        <w:adjustRightInd w:val="0"/>
        <w:spacing w:line="360" w:lineRule="exact"/>
        <w:ind w:firstLine="420" w:firstLineChars="200"/>
        <w:textAlignment w:val="baseline"/>
        <w:rPr>
          <w:rFonts w:ascii="微软雅黑" w:hAnsi="微软雅黑" w:eastAsia="微软雅黑"/>
          <w:szCs w:val="21"/>
        </w:rPr>
      </w:pPr>
      <w:r>
        <w:rPr>
          <w:rFonts w:hint="eastAsia" w:ascii="微软雅黑" w:hAnsi="微软雅黑" w:eastAsia="微软雅黑"/>
          <w:szCs w:val="21"/>
        </w:rPr>
        <w:t>印度信息和通信技术部行政秘书穆罕默德·贾巴内 (Mohamed Jabane)表示：“‘2030 愿景’的成功项目之一是 Ajira 数字计划，该计划旨在将肯尼亚定位为跨国公司的首选劳动力目的地，并鼓励当地公司和公共部门创造数字化工作。”</w:t>
      </w:r>
      <w:r>
        <w:rPr>
          <w:rFonts w:hint="eastAsia"/>
        </w:rPr>
        <w:t xml:space="preserve"> </w:t>
      </w:r>
      <w:r>
        <w:rPr>
          <w:rFonts w:hint="eastAsia" w:ascii="微软雅黑" w:hAnsi="微软雅黑" w:eastAsia="微软雅黑"/>
          <w:szCs w:val="21"/>
        </w:rPr>
        <w:t>STARLINK 是 SpaceX 旗下的卫星互联网公司，该公司已选择肯尼亚内罗毕作为其在非洲的首个办事处，标志着其业务的重大扩张。</w:t>
      </w:r>
    </w:p>
    <w:p w14:paraId="52A2091B">
      <w:pPr>
        <w:widowControl/>
        <w:kinsoku w:val="0"/>
        <w:autoSpaceDE w:val="0"/>
        <w:autoSpaceDN w:val="0"/>
        <w:adjustRightInd w:val="0"/>
        <w:spacing w:line="360" w:lineRule="exact"/>
        <w:ind w:firstLine="420" w:firstLineChars="200"/>
        <w:textAlignment w:val="baseline"/>
        <w:rPr>
          <w:rFonts w:ascii="微软雅黑" w:hAnsi="微软雅黑" w:eastAsia="微软雅黑"/>
          <w:szCs w:val="21"/>
        </w:rPr>
      </w:pPr>
      <w:r>
        <w:rPr>
          <w:rFonts w:hint="eastAsia" w:ascii="微软雅黑" w:hAnsi="微软雅黑" w:eastAsia="微软雅黑"/>
          <w:szCs w:val="21"/>
        </w:rPr>
        <w:t>肯尼亚的人口结构高度年轻化，其中25-34岁年龄段的群体占据了电子商务消费者的绝大多数，比例高达82.4%。他们追求个性化、时尚化和品质化的商品，对新兴事物充满好奇，乐于尝试并接受网购这一便捷的消费方式。在肯尼亚，手机、家居、美妆、男女鞋服、男女配饰、电脑及影音产品等因其满足年轻消费者追求个性化、时尚化与品质化的需求而热销。</w:t>
      </w:r>
    </w:p>
    <w:p w14:paraId="738CE94C">
      <w:pPr>
        <w:widowControl/>
        <w:kinsoku w:val="0"/>
        <w:autoSpaceDE w:val="0"/>
        <w:autoSpaceDN w:val="0"/>
        <w:adjustRightInd w:val="0"/>
        <w:spacing w:line="360" w:lineRule="exact"/>
        <w:ind w:firstLine="420" w:firstLineChars="200"/>
        <w:textAlignment w:val="baseline"/>
        <w:rPr>
          <w:rFonts w:ascii="微软雅黑" w:hAnsi="微软雅黑" w:eastAsia="微软雅黑"/>
          <w:szCs w:val="21"/>
        </w:rPr>
      </w:pPr>
      <w:r>
        <w:rPr>
          <w:rFonts w:hint="eastAsia" w:ascii="微软雅黑" w:hAnsi="微软雅黑" w:eastAsia="微软雅黑"/>
          <w:szCs w:val="21"/>
        </w:rPr>
        <w:t>此外，肯尼亚最近与欧盟达成了一项全面的自由贸易协定，预计将大幅促进双边非石油贸易，目标是在未来五年内达到 1</w:t>
      </w:r>
      <w:r>
        <w:rPr>
          <w:rFonts w:ascii="微软雅黑" w:hAnsi="微软雅黑" w:eastAsia="微软雅黑"/>
          <w:szCs w:val="21"/>
        </w:rPr>
        <w:t>,</w:t>
      </w:r>
      <w:r>
        <w:rPr>
          <w:rFonts w:hint="eastAsia" w:ascii="微软雅黑" w:hAnsi="微软雅黑" w:eastAsia="微软雅黑"/>
          <w:szCs w:val="21"/>
        </w:rPr>
        <w:t>000 亿美元。这项具有里程碑意义的协议将为肯尼亚贸易和服务业的增长做出重大贡献。</w:t>
      </w:r>
    </w:p>
    <w:p w14:paraId="57C8967F">
      <w:pPr>
        <w:rPr>
          <w:rFonts w:ascii="微软雅黑" w:hAnsi="微软雅黑" w:eastAsia="微软雅黑" w:cs="微软雅黑"/>
          <w:b/>
          <w:bCs/>
          <w:sz w:val="40"/>
          <w:szCs w:val="40"/>
        </w:rPr>
      </w:pPr>
      <w:r>
        <w:rPr>
          <w:rFonts w:hint="eastAsia" w:ascii="微软雅黑" w:hAnsi="微软雅黑" w:eastAsia="微软雅黑" w:cs="微软雅黑"/>
          <w:b/>
          <w:bCs/>
          <w:sz w:val="40"/>
          <w:szCs w:val="40"/>
        </w:rPr>
        <w:t>参展范围</w:t>
      </w:r>
    </w:p>
    <w:p w14:paraId="1F255DEE">
      <w:pPr>
        <w:rPr>
          <w:rFonts w:ascii="微软雅黑" w:hAnsi="微软雅黑" w:eastAsia="微软雅黑" w:cs="宋体"/>
          <w:kern w:val="0"/>
          <w:sz w:val="43"/>
          <w:szCs w:val="43"/>
        </w:rPr>
      </w:pPr>
      <w:r>
        <w:rPr>
          <w:rFonts w:hint="eastAsia" w:ascii="微软雅黑" w:hAnsi="微软雅黑" w:eastAsia="微软雅黑" w:cs="宋体"/>
          <w:kern w:val="0"/>
          <w:sz w:val="43"/>
          <w:szCs w:val="43"/>
        </w:rPr>
        <w:drawing>
          <wp:inline distT="0" distB="0" distL="0" distR="0">
            <wp:extent cx="6118860" cy="3174365"/>
            <wp:effectExtent l="0" t="0" r="0" b="698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7" cstate="print">
                      <a:extLst>
                        <a:ext uri="{28A0092B-C50C-407E-A947-70E740481C1C}">
                          <a14:useLocalDpi xmlns:a14="http://schemas.microsoft.com/office/drawing/2010/main" val="0"/>
                        </a:ext>
                      </a:extLst>
                    </a:blip>
                    <a:srcRect t="3596" b="18569"/>
                    <a:stretch>
                      <a:fillRect/>
                    </a:stretch>
                  </pic:blipFill>
                  <pic:spPr>
                    <a:xfrm>
                      <a:off x="0" y="0"/>
                      <a:ext cx="6120130" cy="3175067"/>
                    </a:xfrm>
                    <a:prstGeom prst="rect">
                      <a:avLst/>
                    </a:prstGeom>
                    <a:ln>
                      <a:noFill/>
                    </a:ln>
                  </pic:spPr>
                </pic:pic>
              </a:graphicData>
            </a:graphic>
          </wp:inline>
        </w:drawing>
      </w:r>
    </w:p>
    <w:p w14:paraId="1E8E4EEC">
      <w:pPr>
        <w:pStyle w:val="11"/>
        <w:widowControl/>
        <w:kinsoku w:val="0"/>
        <w:autoSpaceDE w:val="0"/>
        <w:autoSpaceDN w:val="0"/>
        <w:adjustRightInd w:val="0"/>
        <w:spacing w:line="360" w:lineRule="exact"/>
        <w:ind w:firstLine="0" w:firstLineChars="0"/>
        <w:textAlignment w:val="baseline"/>
        <w:rPr>
          <w:rFonts w:ascii="微软雅黑" w:hAnsi="微软雅黑" w:eastAsia="微软雅黑"/>
          <w:bCs/>
          <w:color w:val="000000"/>
          <w:szCs w:val="21"/>
          <w:shd w:val="clear" w:color="auto" w:fill="FFFFFF"/>
        </w:rPr>
      </w:pPr>
      <w:r>
        <w:rPr>
          <w:rFonts w:hint="eastAsia" w:ascii="微软雅黑" w:hAnsi="微软雅黑" w:eastAsia="微软雅黑"/>
          <w:b/>
          <w:bCs/>
          <w:color w:val="000000"/>
          <w:szCs w:val="21"/>
          <w:shd w:val="clear" w:color="auto" w:fill="FFFFFF"/>
        </w:rPr>
        <w:t>· 消费电子：</w:t>
      </w:r>
      <w:r>
        <w:rPr>
          <w:rFonts w:hint="eastAsia" w:ascii="微软雅黑" w:hAnsi="微软雅黑" w:eastAsia="微软雅黑"/>
          <w:bCs/>
          <w:color w:val="000000"/>
          <w:szCs w:val="21"/>
          <w:shd w:val="clear" w:color="auto" w:fill="FFFFFF"/>
        </w:rPr>
        <w:t>个人电脑和笔记本电脑、智能手机和平板电脑、数码相机和摄像机、电视和家庭影音设备、便携式音乐播放器和耳机、游戏机和游戏设备、智能手表、健康追踪器；</w:t>
      </w:r>
    </w:p>
    <w:p w14:paraId="7B1C9209">
      <w:pPr>
        <w:pStyle w:val="11"/>
        <w:widowControl/>
        <w:kinsoku w:val="0"/>
        <w:autoSpaceDE w:val="0"/>
        <w:autoSpaceDN w:val="0"/>
        <w:adjustRightInd w:val="0"/>
        <w:spacing w:line="360" w:lineRule="exact"/>
        <w:ind w:firstLine="0" w:firstLineChars="0"/>
        <w:textAlignment w:val="baseline"/>
        <w:rPr>
          <w:rFonts w:ascii="微软雅黑" w:hAnsi="微软雅黑" w:eastAsia="微软雅黑"/>
          <w:bCs/>
          <w:color w:val="000000"/>
          <w:szCs w:val="21"/>
          <w:shd w:val="clear" w:color="auto" w:fill="FFFFFF"/>
        </w:rPr>
      </w:pPr>
      <w:r>
        <w:rPr>
          <w:rFonts w:hint="eastAsia" w:ascii="微软雅黑" w:hAnsi="微软雅黑" w:eastAsia="微软雅黑"/>
          <w:b/>
          <w:bCs/>
          <w:color w:val="000000"/>
          <w:szCs w:val="21"/>
          <w:shd w:val="clear" w:color="auto" w:fill="FFFFFF"/>
        </w:rPr>
        <w:t>· 消费礼品</w:t>
      </w:r>
      <w:r>
        <w:rPr>
          <w:rFonts w:ascii="微软雅黑" w:hAnsi="微软雅黑" w:eastAsia="微软雅黑"/>
          <w:b/>
          <w:bCs/>
          <w:color w:val="000000"/>
          <w:szCs w:val="21"/>
          <w:shd w:val="clear" w:color="auto" w:fill="FFFFFF"/>
        </w:rPr>
        <w:t xml:space="preserve">: </w:t>
      </w:r>
      <w:r>
        <w:rPr>
          <w:rFonts w:hint="eastAsia" w:ascii="微软雅黑" w:hAnsi="微软雅黑" w:eastAsia="微软雅黑"/>
          <w:bCs/>
          <w:color w:val="000000"/>
          <w:szCs w:val="21"/>
          <w:shd w:val="clear" w:color="auto" w:fill="FFFFFF"/>
        </w:rPr>
        <w:t>节庆礼品用品、婚庆用品、蜡烛、香熏、美容化装用品、时尚钟表、盛行首饰、箱包和皮革制品、纪念品、皮革制品、游戏、工艺品及手工艺品、烟具、画、制造的和收集的限定版的礼品、手工雕刻系列的产品、原创设计和流行的礼品、季节性的装饰品、当代工艺品；</w:t>
      </w:r>
    </w:p>
    <w:p w14:paraId="42B63EA7">
      <w:pPr>
        <w:pStyle w:val="11"/>
        <w:widowControl/>
        <w:kinsoku w:val="0"/>
        <w:autoSpaceDE w:val="0"/>
        <w:autoSpaceDN w:val="0"/>
        <w:adjustRightInd w:val="0"/>
        <w:spacing w:line="360" w:lineRule="exact"/>
        <w:ind w:firstLine="0" w:firstLineChars="0"/>
        <w:textAlignment w:val="baseline"/>
        <w:rPr>
          <w:rFonts w:ascii="微软雅黑" w:hAnsi="微软雅黑" w:eastAsia="微软雅黑"/>
          <w:bCs/>
          <w:color w:val="000000"/>
          <w:szCs w:val="21"/>
          <w:shd w:val="clear" w:color="auto" w:fill="FFFFFF"/>
        </w:rPr>
      </w:pPr>
      <w:r>
        <w:rPr>
          <w:rFonts w:hint="eastAsia" w:ascii="微软雅黑" w:hAnsi="微软雅黑" w:eastAsia="微软雅黑"/>
          <w:b/>
          <w:bCs/>
          <w:color w:val="000000"/>
          <w:szCs w:val="21"/>
          <w:shd w:val="clear" w:color="auto" w:fill="FFFFFF"/>
        </w:rPr>
        <w:t>· 家用消费品</w:t>
      </w:r>
      <w:r>
        <w:rPr>
          <w:rFonts w:ascii="微软雅黑" w:hAnsi="微软雅黑" w:eastAsia="微软雅黑"/>
          <w:b/>
          <w:bCs/>
          <w:color w:val="000000"/>
          <w:szCs w:val="21"/>
          <w:shd w:val="clear" w:color="auto" w:fill="FFFFFF"/>
        </w:rPr>
        <w:t>:</w:t>
      </w:r>
      <w:r>
        <w:rPr>
          <w:rFonts w:ascii="微软雅黑" w:hAnsi="微软雅黑" w:eastAsia="微软雅黑"/>
          <w:bCs/>
          <w:color w:val="000000"/>
          <w:szCs w:val="21"/>
          <w:shd w:val="clear" w:color="auto" w:fill="FFFFFF"/>
        </w:rPr>
        <w:t xml:space="preserve"> </w:t>
      </w:r>
      <w:r>
        <w:rPr>
          <w:rFonts w:hint="eastAsia" w:ascii="微软雅黑" w:hAnsi="微软雅黑" w:eastAsia="微软雅黑"/>
          <w:bCs/>
          <w:color w:val="000000"/>
          <w:szCs w:val="21"/>
          <w:shd w:val="clear" w:color="auto" w:fill="FFFFFF"/>
        </w:rPr>
        <w:t>厨具、日用品、玻璃、瓷器、陶瓷、金属器皿、烹饪器具、餐盘和油炸锅、小型电器、烘培器皿、快速食品包装、家用清洁设备及器皿、厨具附件和纺织品；</w:t>
      </w:r>
    </w:p>
    <w:p w14:paraId="020D8F4A">
      <w:pPr>
        <w:pStyle w:val="11"/>
        <w:widowControl/>
        <w:kinsoku w:val="0"/>
        <w:autoSpaceDE w:val="0"/>
        <w:autoSpaceDN w:val="0"/>
        <w:adjustRightInd w:val="0"/>
        <w:spacing w:line="360" w:lineRule="exact"/>
        <w:ind w:firstLine="0" w:firstLineChars="0"/>
        <w:textAlignment w:val="baseline"/>
        <w:rPr>
          <w:rFonts w:ascii="微软雅黑" w:hAnsi="微软雅黑" w:eastAsia="微软雅黑"/>
          <w:bCs/>
          <w:color w:val="000000"/>
          <w:szCs w:val="21"/>
          <w:shd w:val="clear" w:color="auto" w:fill="FFFFFF"/>
        </w:rPr>
      </w:pPr>
      <w:r>
        <w:rPr>
          <w:rFonts w:hint="eastAsia" w:ascii="微软雅黑" w:hAnsi="微软雅黑" w:eastAsia="微软雅黑"/>
          <w:b/>
          <w:bCs/>
          <w:color w:val="000000"/>
          <w:szCs w:val="21"/>
          <w:shd w:val="clear" w:color="auto" w:fill="FFFFFF"/>
        </w:rPr>
        <w:t>· 智能家居：</w:t>
      </w:r>
      <w:r>
        <w:rPr>
          <w:rFonts w:hint="eastAsia" w:ascii="微软雅黑" w:hAnsi="微软雅黑" w:eastAsia="微软雅黑"/>
          <w:bCs/>
          <w:color w:val="000000"/>
          <w:szCs w:val="21"/>
          <w:shd w:val="clear" w:color="auto" w:fill="FFFFFF"/>
        </w:rPr>
        <w:t>家居装饰品，花园用品，餐桌用品，厨房用品，家用品、智能音箱、智能灯具。</w:t>
      </w:r>
    </w:p>
    <w:sectPr>
      <w:type w:val="continuous"/>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wZTUyNjZlMWNiZTRhYWQ0OWNkYjI5YjM0NGI4NGUifQ=="/>
  </w:docVars>
  <w:rsids>
    <w:rsidRoot w:val="001F6BF5"/>
    <w:rsid w:val="000762B7"/>
    <w:rsid w:val="000C2C44"/>
    <w:rsid w:val="000E2595"/>
    <w:rsid w:val="00117AF9"/>
    <w:rsid w:val="0013365A"/>
    <w:rsid w:val="001456E6"/>
    <w:rsid w:val="00151250"/>
    <w:rsid w:val="00156C2E"/>
    <w:rsid w:val="00160885"/>
    <w:rsid w:val="0019276A"/>
    <w:rsid w:val="001971C3"/>
    <w:rsid w:val="001A20DB"/>
    <w:rsid w:val="001A32BE"/>
    <w:rsid w:val="001E5EF8"/>
    <w:rsid w:val="001F6BF5"/>
    <w:rsid w:val="00216158"/>
    <w:rsid w:val="00246421"/>
    <w:rsid w:val="0027683B"/>
    <w:rsid w:val="00294CC7"/>
    <w:rsid w:val="002E368C"/>
    <w:rsid w:val="002F1554"/>
    <w:rsid w:val="0030690E"/>
    <w:rsid w:val="00336EEA"/>
    <w:rsid w:val="00344DAB"/>
    <w:rsid w:val="003B0BEB"/>
    <w:rsid w:val="003B6EA5"/>
    <w:rsid w:val="003C3988"/>
    <w:rsid w:val="003E00D2"/>
    <w:rsid w:val="003F48E7"/>
    <w:rsid w:val="00402281"/>
    <w:rsid w:val="00423C6D"/>
    <w:rsid w:val="00425440"/>
    <w:rsid w:val="004405F0"/>
    <w:rsid w:val="00457462"/>
    <w:rsid w:val="004771DA"/>
    <w:rsid w:val="00483FD1"/>
    <w:rsid w:val="004B4D59"/>
    <w:rsid w:val="004C75E8"/>
    <w:rsid w:val="004F2B98"/>
    <w:rsid w:val="005008D3"/>
    <w:rsid w:val="00501F35"/>
    <w:rsid w:val="005048A2"/>
    <w:rsid w:val="0051659E"/>
    <w:rsid w:val="005430BB"/>
    <w:rsid w:val="00552E94"/>
    <w:rsid w:val="00553DC5"/>
    <w:rsid w:val="00567F68"/>
    <w:rsid w:val="005E55B2"/>
    <w:rsid w:val="00602921"/>
    <w:rsid w:val="00602D86"/>
    <w:rsid w:val="00607E21"/>
    <w:rsid w:val="00634549"/>
    <w:rsid w:val="00677DEF"/>
    <w:rsid w:val="006809E7"/>
    <w:rsid w:val="00685DB8"/>
    <w:rsid w:val="006B1859"/>
    <w:rsid w:val="006C2201"/>
    <w:rsid w:val="006F7741"/>
    <w:rsid w:val="00703412"/>
    <w:rsid w:val="00705F5B"/>
    <w:rsid w:val="00706CD6"/>
    <w:rsid w:val="00711BEB"/>
    <w:rsid w:val="00720D10"/>
    <w:rsid w:val="00740439"/>
    <w:rsid w:val="00755A06"/>
    <w:rsid w:val="00771494"/>
    <w:rsid w:val="00780CC2"/>
    <w:rsid w:val="007D2B63"/>
    <w:rsid w:val="007E5C82"/>
    <w:rsid w:val="00822ACC"/>
    <w:rsid w:val="00874574"/>
    <w:rsid w:val="00881F13"/>
    <w:rsid w:val="008A212E"/>
    <w:rsid w:val="008B6E42"/>
    <w:rsid w:val="00902348"/>
    <w:rsid w:val="0094240F"/>
    <w:rsid w:val="00953365"/>
    <w:rsid w:val="00957711"/>
    <w:rsid w:val="009A7A2A"/>
    <w:rsid w:val="009D4F31"/>
    <w:rsid w:val="009E274F"/>
    <w:rsid w:val="009F437F"/>
    <w:rsid w:val="00A60361"/>
    <w:rsid w:val="00A62108"/>
    <w:rsid w:val="00A638F4"/>
    <w:rsid w:val="00A9782F"/>
    <w:rsid w:val="00AB4348"/>
    <w:rsid w:val="00AC3C06"/>
    <w:rsid w:val="00AC4C97"/>
    <w:rsid w:val="00AD5A63"/>
    <w:rsid w:val="00AE6D03"/>
    <w:rsid w:val="00B036E1"/>
    <w:rsid w:val="00B20F76"/>
    <w:rsid w:val="00B4692A"/>
    <w:rsid w:val="00BB452A"/>
    <w:rsid w:val="00BB6D7A"/>
    <w:rsid w:val="00BC16E2"/>
    <w:rsid w:val="00C010FA"/>
    <w:rsid w:val="00C278A5"/>
    <w:rsid w:val="00C436D3"/>
    <w:rsid w:val="00C80B71"/>
    <w:rsid w:val="00C957E6"/>
    <w:rsid w:val="00D011DA"/>
    <w:rsid w:val="00D51C53"/>
    <w:rsid w:val="00D876EB"/>
    <w:rsid w:val="00DA37DB"/>
    <w:rsid w:val="00DC2338"/>
    <w:rsid w:val="00E074E8"/>
    <w:rsid w:val="00E25BC6"/>
    <w:rsid w:val="00E85629"/>
    <w:rsid w:val="00EB2F5A"/>
    <w:rsid w:val="00EB5D55"/>
    <w:rsid w:val="00ED031A"/>
    <w:rsid w:val="00EE09F6"/>
    <w:rsid w:val="00EF5D7B"/>
    <w:rsid w:val="00F53E66"/>
    <w:rsid w:val="00F632ED"/>
    <w:rsid w:val="00FB2B9E"/>
    <w:rsid w:val="041F5699"/>
    <w:rsid w:val="06A67E6B"/>
    <w:rsid w:val="080407C4"/>
    <w:rsid w:val="09EF5447"/>
    <w:rsid w:val="0ED1413C"/>
    <w:rsid w:val="126C4E8A"/>
    <w:rsid w:val="132C67E2"/>
    <w:rsid w:val="140F2E4A"/>
    <w:rsid w:val="167F2A48"/>
    <w:rsid w:val="1A3C5ABC"/>
    <w:rsid w:val="1B7D2CDE"/>
    <w:rsid w:val="210A42D5"/>
    <w:rsid w:val="23770662"/>
    <w:rsid w:val="2FF01822"/>
    <w:rsid w:val="31AB3BD5"/>
    <w:rsid w:val="324837DA"/>
    <w:rsid w:val="37A14BDC"/>
    <w:rsid w:val="37EB6767"/>
    <w:rsid w:val="39DE5BC6"/>
    <w:rsid w:val="3B652F0D"/>
    <w:rsid w:val="3E832EAB"/>
    <w:rsid w:val="41D148C1"/>
    <w:rsid w:val="42832E2D"/>
    <w:rsid w:val="42F02AD9"/>
    <w:rsid w:val="462E5DF2"/>
    <w:rsid w:val="483462A4"/>
    <w:rsid w:val="495C2C76"/>
    <w:rsid w:val="49B36BD3"/>
    <w:rsid w:val="4A1F71D6"/>
    <w:rsid w:val="4DA14D78"/>
    <w:rsid w:val="4F371F35"/>
    <w:rsid w:val="5100482F"/>
    <w:rsid w:val="519A7A59"/>
    <w:rsid w:val="56772E9D"/>
    <w:rsid w:val="59484FC5"/>
    <w:rsid w:val="5B943451"/>
    <w:rsid w:val="5C2A09B2"/>
    <w:rsid w:val="5DA327CA"/>
    <w:rsid w:val="5E8B1409"/>
    <w:rsid w:val="5ECB022A"/>
    <w:rsid w:val="63334E9C"/>
    <w:rsid w:val="64846B00"/>
    <w:rsid w:val="6487730D"/>
    <w:rsid w:val="67AD0415"/>
    <w:rsid w:val="69B17AA6"/>
    <w:rsid w:val="69BE2348"/>
    <w:rsid w:val="6A0961EA"/>
    <w:rsid w:val="72080C08"/>
    <w:rsid w:val="741D7EEB"/>
    <w:rsid w:val="77BB3B58"/>
    <w:rsid w:val="78B95140"/>
    <w:rsid w:val="7AE70D64"/>
    <w:rsid w:val="7B0630C7"/>
    <w:rsid w:val="7BDB1CFE"/>
    <w:rsid w:val="7BDF4EBD"/>
    <w:rsid w:val="7C582096"/>
    <w:rsid w:val="7DF7741D"/>
    <w:rsid w:val="7F840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Cs w:val="21"/>
      <w:lang w:eastAsia="en-US"/>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rPr>
  </w:style>
  <w:style w:type="table" w:customStyle="1" w:styleId="8">
    <w:name w:val="Table Normal1"/>
    <w:autoRedefine/>
    <w:semiHidden/>
    <w:unhideWhenUsed/>
    <w:qFormat/>
    <w:uiPriority w:val="0"/>
    <w:tblPr>
      <w:tblCellMar>
        <w:top w:w="0" w:type="dxa"/>
        <w:left w:w="0" w:type="dxa"/>
        <w:bottom w:w="0" w:type="dxa"/>
        <w:right w:w="0" w:type="dxa"/>
      </w:tblCellMar>
    </w:tblPr>
  </w:style>
  <w:style w:type="character" w:customStyle="1" w:styleId="9">
    <w:name w:val="页眉 Char"/>
    <w:basedOn w:val="6"/>
    <w:link w:val="4"/>
    <w:qFormat/>
    <w:uiPriority w:val="0"/>
    <w:rPr>
      <w:rFonts w:asciiTheme="minorHAnsi" w:hAnsiTheme="minorHAnsi" w:eastAsiaTheme="minorEastAsia" w:cstheme="minorBidi"/>
      <w:kern w:val="2"/>
      <w:sz w:val="18"/>
      <w:szCs w:val="18"/>
    </w:rPr>
  </w:style>
  <w:style w:type="character" w:customStyle="1" w:styleId="10">
    <w:name w:val="页脚 Char"/>
    <w:basedOn w:val="6"/>
    <w:link w:val="3"/>
    <w:qFormat/>
    <w:uiPriority w:val="0"/>
    <w:rPr>
      <w:rFonts w:asciiTheme="minorHAnsi" w:hAnsiTheme="minorHAnsi" w:eastAsiaTheme="minorEastAsia" w:cstheme="minorBidi"/>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A8630-E7CB-4903-BE31-7EE9D834393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1656</Words>
  <Characters>1800</Characters>
  <Lines>13</Lines>
  <Paragraphs>3</Paragraphs>
  <TotalTime>18</TotalTime>
  <ScaleCrop>false</ScaleCrop>
  <LinksUpToDate>false</LinksUpToDate>
  <CharactersWithSpaces>1832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2024-10-14T05:15:00Z</dcterms:created>
  <dc:creator>10219</dc:creator>
  <cp:lastModifiedBy>WPS_1699857115</cp:lastModifiedBy>
  <dcterms:modified xsi:type="dcterms:W3CDTF">2024-11-01T03:17:39Z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BE8B2DABF5914E379C6D32D2DB109B9A_13</vt:lpwstr>
  </property>
</Properties>
</file>