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C96A08">
      <w:pPr>
        <w:jc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6426835" cy="2856865"/>
            <wp:effectExtent l="0" t="0" r="12065" b="635"/>
            <wp:docPr id="4" name="图片 4" descr="C:\Users\mie\Desktop\沙特五大banner2.0(1).jpg沙特五大banner2.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mie\Desktop\沙特五大banner2.0(1).jpg沙特五大banner2.0(1)"/>
                    <pic:cNvPicPr>
                      <a:picLocks noChangeAspect="1"/>
                    </pic:cNvPicPr>
                  </pic:nvPicPr>
                  <pic:blipFill>
                    <a:blip r:embed="rId4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939D">
      <w:pPr>
        <w:jc w:val="center"/>
        <w:rPr>
          <w:sz w:val="18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72"/>
          <w:szCs w:val="72"/>
        </w:rPr>
        <w:t>202</w:t>
      </w:r>
      <w:r>
        <w:rPr>
          <w:rFonts w:hint="eastAsia" w:ascii="微软雅黑" w:hAnsi="微软雅黑" w:eastAsia="微软雅黑" w:cs="微软雅黑"/>
          <w:b/>
          <w:bCs/>
          <w:kern w:val="0"/>
          <w:sz w:val="72"/>
          <w:szCs w:val="72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kern w:val="0"/>
          <w:sz w:val="72"/>
          <w:szCs w:val="72"/>
        </w:rPr>
        <w:t>年沙特照明设计与技术</w:t>
      </w:r>
      <w:r>
        <w:rPr>
          <w:rFonts w:hint="eastAsia" w:ascii="微软雅黑" w:hAnsi="微软雅黑" w:eastAsia="微软雅黑" w:cs="微软雅黑"/>
          <w:b/>
          <w:bCs/>
          <w:kern w:val="0"/>
          <w:sz w:val="72"/>
          <w:szCs w:val="72"/>
          <w:lang w:eastAsia="zh-CN"/>
        </w:rPr>
        <w:t>展</w:t>
      </w:r>
      <w:r>
        <w:rPr>
          <w:rFonts w:hint="eastAsia"/>
          <w:sz w:val="72"/>
          <w:szCs w:val="72"/>
        </w:rPr>
        <w:t xml:space="preserve"> </w:t>
      </w:r>
      <w:r>
        <w:rPr>
          <w:rFonts w:hint="eastAsia"/>
          <w:sz w:val="18"/>
          <w:szCs w:val="21"/>
        </w:rPr>
        <w:t xml:space="preserve">       </w:t>
      </w:r>
    </w:p>
    <w:p w14:paraId="602CDEA7"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</w:rPr>
      </w:pPr>
      <w:r>
        <w:drawing>
          <wp:inline distT="0" distB="0" distL="0" distR="0">
            <wp:extent cx="2166620" cy="873760"/>
            <wp:effectExtent l="0" t="0" r="5080" b="2540"/>
            <wp:docPr id="23" name="图片 23" descr="E:/李姗/MIE/展会logo/沙特照明灯具.png沙特照明灯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/李姗/MIE/展会logo/沙特照明灯具.png沙特照明灯具"/>
                    <pic:cNvPicPr>
                      <a:picLocks noChangeAspect="1"/>
                    </pic:cNvPicPr>
                  </pic:nvPicPr>
                  <pic:blipFill>
                    <a:blip r:embed="rId5"/>
                    <a:srcRect t="1920" b="6400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873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686BC">
      <w:pPr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展会介绍</w:t>
      </w:r>
    </w:p>
    <w:p w14:paraId="5C4B9A82">
      <w:pPr>
        <w:pStyle w:val="2"/>
        <w:spacing w:before="159" w:line="187" w:lineRule="auto"/>
        <w:ind w:left="169"/>
        <w:jc w:val="left"/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</w:pP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 xml:space="preserve">● </w:t>
      </w:r>
      <w:r>
        <w:rPr>
          <w:b/>
          <w:bCs/>
          <w:color w:val="050E17"/>
          <w:spacing w:val="5"/>
          <w:sz w:val="28"/>
          <w:szCs w:val="28"/>
          <w:lang w:eastAsia="zh-CN"/>
        </w:rPr>
        <w:t>展会时间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5"/>
          <w:sz w:val="28"/>
          <w:szCs w:val="28"/>
          <w:lang w:eastAsia="zh-CN"/>
        </w:rPr>
        <w:t>202</w:t>
      </w:r>
      <w:r>
        <w:rPr>
          <w:rFonts w:hint="eastAsia"/>
          <w:b/>
          <w:bCs/>
          <w:color w:val="050E17"/>
          <w:spacing w:val="5"/>
          <w:sz w:val="28"/>
          <w:szCs w:val="28"/>
          <w:lang w:val="en-US" w:eastAsia="zh-CN"/>
        </w:rPr>
        <w:t>5</w:t>
      </w:r>
      <w:r>
        <w:rPr>
          <w:b/>
          <w:bCs/>
          <w:color w:val="050E17"/>
          <w:spacing w:val="5"/>
          <w:sz w:val="28"/>
          <w:szCs w:val="28"/>
          <w:lang w:eastAsia="zh-CN"/>
        </w:rPr>
        <w:t>年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>9</w:t>
      </w:r>
      <w:r>
        <w:rPr>
          <w:b/>
          <w:bCs/>
          <w:color w:val="050E17"/>
          <w:spacing w:val="5"/>
          <w:sz w:val="28"/>
          <w:szCs w:val="28"/>
          <w:lang w:eastAsia="zh-CN"/>
        </w:rPr>
        <w:t>月</w:t>
      </w:r>
      <w:r>
        <w:rPr>
          <w:rFonts w:hint="eastAsia"/>
          <w:b/>
          <w:bCs/>
          <w:color w:val="050E17"/>
          <w:spacing w:val="5"/>
          <w:sz w:val="28"/>
          <w:szCs w:val="28"/>
          <w:lang w:val="en-US" w:eastAsia="zh-CN"/>
        </w:rPr>
        <w:t>09-11</w:t>
      </w:r>
      <w:r>
        <w:rPr>
          <w:b/>
          <w:bCs/>
          <w:color w:val="050E17"/>
          <w:spacing w:val="5"/>
          <w:sz w:val="28"/>
          <w:szCs w:val="28"/>
          <w:lang w:eastAsia="zh-CN"/>
        </w:rPr>
        <w:t>日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 xml:space="preserve">        </w:t>
      </w:r>
      <w:r>
        <w:rPr>
          <w:b/>
          <w:bCs/>
          <w:color w:val="050E17"/>
          <w:spacing w:val="9"/>
          <w:sz w:val="28"/>
          <w:szCs w:val="28"/>
          <w:lang w:eastAsia="zh-CN"/>
        </w:rPr>
        <w:t>展会地点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sz w:val="28"/>
          <w:szCs w:val="28"/>
          <w:lang w:eastAsia="zh-CN"/>
        </w:rPr>
        <w:t>利雅得前沿会展中心</w:t>
      </w:r>
    </w:p>
    <w:p w14:paraId="5B73609D">
      <w:pPr>
        <w:pStyle w:val="2"/>
        <w:spacing w:before="96" w:line="188" w:lineRule="auto"/>
        <w:ind w:left="169"/>
        <w:jc w:val="left"/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</w:pP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 xml:space="preserve">● </w:t>
      </w:r>
      <w:r>
        <w:rPr>
          <w:b/>
          <w:bCs/>
          <w:color w:val="050E17"/>
          <w:spacing w:val="5"/>
          <w:sz w:val="28"/>
          <w:szCs w:val="28"/>
          <w:lang w:eastAsia="zh-CN"/>
        </w:rPr>
        <w:t>主办单位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5"/>
          <w:sz w:val="28"/>
          <w:szCs w:val="28"/>
          <w:lang w:eastAsia="zh-CN"/>
        </w:rPr>
        <w:t>DMG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 xml:space="preserve">                       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展会类型：酒店家居</w:t>
      </w:r>
    </w:p>
    <w:p w14:paraId="744E5CBF">
      <w:pPr>
        <w:pStyle w:val="2"/>
        <w:spacing w:before="96" w:line="188" w:lineRule="auto"/>
        <w:ind w:left="169"/>
        <w:jc w:val="left"/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</w:pPr>
    </w:p>
    <w:p w14:paraId="7D48F2EF">
      <w:pPr>
        <w:snapToGrid w:val="0"/>
        <w:spacing w:line="360" w:lineRule="auto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position w:val="-61"/>
        </w:rPr>
        <w:drawing>
          <wp:inline distT="0" distB="0" distL="0" distR="0">
            <wp:extent cx="6368415" cy="2858135"/>
            <wp:effectExtent l="0" t="0" r="13335" b="18415"/>
            <wp:docPr id="6" name="IM 6" descr="C:\Users\mie\Desktop\图.jpg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mie\Desktop\图.jpg图"/>
                    <pic:cNvPicPr>
                      <a:picLocks noChangeAspect="1"/>
                    </pic:cNvPicPr>
                  </pic:nvPicPr>
                  <pic:blipFill>
                    <a:blip r:embed="rId6"/>
                    <a:srcRect t="16009" b="16009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BC39">
      <w:pPr>
        <w:ind w:firstLine="560" w:firstLineChars="200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</w:rPr>
        <w:t>沙特照明设计与技术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展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由英国知名展览集团DMG events主办，是沙特目前唯一的照明行业盛会，其规模与影响力正逐年攀升，成为业界瞩目的焦点。这一盛会</w:t>
      </w:r>
      <w:r>
        <w:rPr>
          <w:rFonts w:hint="eastAsia" w:ascii="微软雅黑" w:hAnsi="微软雅黑" w:eastAsia="微软雅黑"/>
          <w:kern w:val="0"/>
          <w:sz w:val="28"/>
          <w:szCs w:val="28"/>
        </w:rPr>
        <w:t>提供了一个与全球照明行业解决方案提供商会面的专门平台，展示尖端技术和创新产品，激发创造性思维。</w:t>
      </w:r>
    </w:p>
    <w:p w14:paraId="01EDCB3A">
      <w:pPr>
        <w:ind w:firstLine="560" w:firstLineChars="200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</w:rPr>
        <w:t>202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5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年9月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09-11</w:t>
      </w:r>
      <w:bookmarkStart w:id="0" w:name="_GoBack"/>
      <w:bookmarkEnd w:id="0"/>
      <w:r>
        <w:rPr>
          <w:rFonts w:hint="eastAsia" w:ascii="微软雅黑" w:hAnsi="微软雅黑" w:eastAsia="微软雅黑" w:cs="宋体"/>
          <w:kern w:val="0"/>
          <w:sz w:val="28"/>
          <w:szCs w:val="28"/>
        </w:rPr>
        <w:t>日，沙特照明设计与技术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展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将在利雅得前沿会展中心举办，与沙特知名室内装饰及家具展INDEX SUDAI ARABIA同期举办。展会将吸引来自35个国家的超500家展商参展，参展观众预计达到23,000人次，展馆面积超4,000平方米。</w:t>
      </w:r>
    </w:p>
    <w:tbl>
      <w:tblPr>
        <w:tblStyle w:val="11"/>
        <w:tblpPr w:leftFromText="180" w:rightFromText="180" w:vertAnchor="text" w:horzAnchor="page" w:tblpXSpec="center" w:tblpY="137"/>
        <w:tblOverlap w:val="never"/>
        <w:tblW w:w="968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32"/>
        <w:gridCol w:w="2419"/>
        <w:gridCol w:w="2426"/>
      </w:tblGrid>
      <w:tr w14:paraId="327E15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</w:tcPr>
          <w:p w14:paraId="1A9A0E92">
            <w:pPr>
              <w:spacing w:before="211" w:line="190" w:lineRule="auto"/>
              <w:ind w:left="685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</w:tcPr>
          <w:p w14:paraId="232DA7BF">
            <w:pPr>
              <w:spacing w:before="210" w:line="189" w:lineRule="auto"/>
              <w:ind w:left="681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</w:tcPr>
          <w:p w14:paraId="2989176A">
            <w:pPr>
              <w:spacing w:before="210" w:line="191" w:lineRule="auto"/>
              <w:ind w:left="678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</w:tcPr>
          <w:p w14:paraId="0B540CDC">
            <w:pPr>
              <w:spacing w:before="211" w:line="189" w:lineRule="auto"/>
              <w:ind w:left="679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 w14:paraId="57E58A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</w:tcPr>
          <w:p w14:paraId="29FCAE10">
            <w:pPr>
              <w:spacing w:before="227" w:line="214" w:lineRule="auto"/>
              <w:ind w:left="826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</w:rPr>
              <w:t>500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</w:tcPr>
          <w:p w14:paraId="5DAE5BF3">
            <w:pPr>
              <w:spacing w:before="225" w:line="197" w:lineRule="auto"/>
              <w:jc w:val="center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</w:rPr>
              <w:t>23,0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00+</w:t>
            </w:r>
          </w:p>
        </w:tc>
        <w:tc>
          <w:tcPr>
            <w:tcW w:w="2419" w:type="dxa"/>
          </w:tcPr>
          <w:p w14:paraId="050A65B4">
            <w:pPr>
              <w:spacing w:before="227" w:line="214" w:lineRule="auto"/>
              <w:ind w:left="933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10"/>
                <w:sz w:val="28"/>
                <w:szCs w:val="28"/>
              </w:rPr>
              <w:t>40</w:t>
            </w:r>
            <w:r>
              <w:rPr>
                <w:rFonts w:ascii="微软雅黑" w:hAnsi="微软雅黑" w:eastAsia="微软雅黑" w:cs="微软雅黑"/>
                <w:spacing w:val="-10"/>
                <w:sz w:val="28"/>
                <w:szCs w:val="28"/>
              </w:rPr>
              <w:t>+</w:t>
            </w:r>
          </w:p>
        </w:tc>
        <w:tc>
          <w:tcPr>
            <w:tcW w:w="2426" w:type="dxa"/>
          </w:tcPr>
          <w:p w14:paraId="7AEC577F">
            <w:pPr>
              <w:spacing w:before="225" w:line="197" w:lineRule="auto"/>
              <w:ind w:left="587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</w:rPr>
              <w:t>4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,000+</w:t>
            </w:r>
          </w:p>
        </w:tc>
      </w:tr>
    </w:tbl>
    <w:p w14:paraId="1BF7FD8D">
      <w:pPr>
        <w:widowControl/>
        <w:kinsoku w:val="0"/>
        <w:autoSpaceDE w:val="0"/>
        <w:autoSpaceDN w:val="0"/>
        <w:adjustRightInd w:val="0"/>
        <w:spacing w:line="360" w:lineRule="auto"/>
        <w:textAlignment w:val="baseline"/>
        <w:rPr>
          <w:rFonts w:hint="eastAsia" w:ascii="微软雅黑" w:hAnsi="微软雅黑" w:eastAsia="微软雅黑" w:cs="微软雅黑"/>
          <w:b/>
          <w:bCs/>
          <w:sz w:val="18"/>
          <w:szCs w:val="18"/>
        </w:rPr>
      </w:pPr>
    </w:p>
    <w:p w14:paraId="13C6BF93">
      <w:pPr>
        <w:widowControl/>
        <w:kinsoku w:val="0"/>
        <w:autoSpaceDE w:val="0"/>
        <w:autoSpaceDN w:val="0"/>
        <w:adjustRightInd w:val="0"/>
        <w:spacing w:line="360" w:lineRule="auto"/>
        <w:textAlignment w:val="baseline"/>
        <w:rPr>
          <w:position w:val="-71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市场机遇</w:t>
      </w:r>
    </w:p>
    <w:p w14:paraId="6359FCAE">
      <w:pPr>
        <w:widowControl/>
        <w:kinsoku w:val="0"/>
        <w:autoSpaceDE w:val="0"/>
        <w:autoSpaceDN w:val="0"/>
        <w:adjustRightInd w:val="0"/>
        <w:spacing w:line="360" w:lineRule="auto"/>
        <w:textAlignment w:val="baseline"/>
        <w:rPr>
          <w:rFonts w:hint="eastAsia" w:ascii="微软雅黑" w:hAnsi="微软雅黑" w:eastAsia="微软雅黑" w:cs="宋体"/>
          <w:kern w:val="0"/>
          <w:sz w:val="10"/>
          <w:szCs w:val="10"/>
        </w:rPr>
      </w:pPr>
      <w:r>
        <w:rPr>
          <w:position w:val="-71"/>
        </w:rPr>
        <w:drawing>
          <wp:inline distT="0" distB="0" distL="0" distR="0">
            <wp:extent cx="6415405" cy="2858135"/>
            <wp:effectExtent l="0" t="0" r="4445" b="18415"/>
            <wp:docPr id="8" name="IM 8" descr="C:\Users\mie\Desktop\DEL_7054-1.jpgDEL_705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\Users\mie\Desktop\DEL_7054-1.jpgDEL_7054-1"/>
                    <pic:cNvPicPr>
                      <a:picLocks noChangeAspect="1"/>
                    </pic:cNvPicPr>
                  </pic:nvPicPr>
                  <pic:blipFill>
                    <a:blip r:embed="rId7"/>
                    <a:srcRect t="16535" b="16535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44ADC">
      <w:pPr>
        <w:ind w:firstLine="560" w:firstLineChars="200"/>
        <w:rPr>
          <w:rFonts w:ascii="微软雅黑" w:hAnsi="微软雅黑" w:eastAsia="微软雅黑" w:cs="宋体"/>
          <w:kern w:val="0"/>
          <w:sz w:val="28"/>
          <w:szCs w:val="28"/>
        </w:rPr>
      </w:pPr>
      <w:r>
        <w:rPr>
          <w:rFonts w:ascii="微软雅黑" w:hAnsi="微软雅黑" w:eastAsia="微软雅黑" w:cs="宋体"/>
          <w:kern w:val="0"/>
          <w:sz w:val="28"/>
          <w:szCs w:val="28"/>
        </w:rPr>
        <w:t>随着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沙特政府</w:t>
      </w:r>
      <w:r>
        <w:rPr>
          <w:rFonts w:ascii="微软雅黑" w:hAnsi="微软雅黑" w:eastAsia="微软雅黑" w:cs="宋体"/>
          <w:kern w:val="0"/>
          <w:sz w:val="28"/>
          <w:szCs w:val="28"/>
        </w:rPr>
        <w:t>致力于实现长期经济目标和城市发展规划，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其</w:t>
      </w:r>
      <w:r>
        <w:rPr>
          <w:rFonts w:ascii="微软雅黑" w:hAnsi="微软雅黑" w:eastAsia="微软雅黑" w:cs="宋体"/>
          <w:kern w:val="0"/>
          <w:sz w:val="28"/>
          <w:szCs w:val="28"/>
        </w:rPr>
        <w:t>建筑业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将</w:t>
      </w:r>
      <w:r>
        <w:rPr>
          <w:rFonts w:ascii="微软雅黑" w:hAnsi="微软雅黑" w:eastAsia="微软雅黑" w:cs="宋体"/>
          <w:kern w:val="0"/>
          <w:sz w:val="28"/>
          <w:szCs w:val="28"/>
        </w:rPr>
        <w:t>持续繁荣。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目前，</w:t>
      </w:r>
      <w:r>
        <w:rPr>
          <w:rFonts w:ascii="微软雅黑" w:hAnsi="微软雅黑" w:eastAsia="微软雅黑" w:cs="宋体"/>
          <w:kern w:val="0"/>
          <w:sz w:val="28"/>
          <w:szCs w:val="28"/>
        </w:rPr>
        <w:t>沙特拥有超过3000个活跃的建设项目，总价值高达1.3万亿美元，占据了海湾合作委员会项目市场的54%。酒店、住宿、购物中心和商业项目的激增，为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沙特</w:t>
      </w:r>
      <w:r>
        <w:rPr>
          <w:rFonts w:ascii="微软雅黑" w:hAnsi="微软雅黑" w:eastAsia="微软雅黑" w:cs="宋体"/>
          <w:kern w:val="0"/>
          <w:sz w:val="28"/>
          <w:szCs w:val="28"/>
        </w:rPr>
        <w:t>照明行业提供了巨大的市场空间。这些项目不仅需要高质量的照明设备和技术，还需要创新的照明设计方案，以满足不同场所和功能的需求。</w:t>
      </w:r>
    </w:p>
    <w:p w14:paraId="0EBC0BE4">
      <w:pPr>
        <w:ind w:firstLine="560" w:firstLineChars="200"/>
        <w:rPr>
          <w:rFonts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ascii="微软雅黑" w:hAnsi="微软雅黑" w:eastAsia="微软雅黑" w:cs="宋体"/>
          <w:kern w:val="0"/>
          <w:sz w:val="28"/>
          <w:szCs w:val="28"/>
          <w:lang w:val="en-US" w:eastAsia="zh-CN"/>
        </w:rPr>
        <w:t>根据P&amp;S Intelligence的一份报告显示，2023年沙特阿拉伯照明市场规模达18.906亿美元，预计在2024-2030年期间以10.5%的复合年均增长率（CAGR）增长，到2030年达到约37.859亿美元。</w:t>
      </w:r>
    </w:p>
    <w:p w14:paraId="4A623239">
      <w:pPr>
        <w:ind w:firstLine="560" w:firstLineChars="200"/>
        <w:rPr>
          <w:rFonts w:hint="eastAsia" w:ascii="微软雅黑" w:hAnsi="微软雅黑" w:eastAsia="微软雅黑"/>
          <w:kern w:val="0"/>
          <w:sz w:val="28"/>
          <w:szCs w:val="28"/>
        </w:rPr>
      </w:pPr>
      <w:r>
        <w:rPr>
          <w:rFonts w:hint="default" w:ascii="微软雅黑" w:hAnsi="微软雅黑" w:eastAsia="微软雅黑"/>
          <w:kern w:val="0"/>
          <w:sz w:val="28"/>
          <w:szCs w:val="28"/>
        </w:rPr>
        <w:t>2023年，住宅照明应用在沙特照明市场中占据最大份额，预计复合年增长率为10.8%。随着沙特人口年轻化和城市化进程的加快，住宅和商业建筑的需求旺盛，为室内照明市场提供了巨大的潜力。</w:t>
      </w:r>
    </w:p>
    <w:p w14:paraId="30EB9B2E">
      <w:pPr>
        <w:ind w:firstLine="560" w:firstLineChars="200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kern w:val="0"/>
          <w:sz w:val="28"/>
          <w:szCs w:val="28"/>
        </w:rPr>
        <w:t>沙特阿拉伯有大约4,700个建设项目正在筹备中，预计在2030年前对285个城市的基础设施进行现代化改造。这意味着在道路、隧道、公共广场等领域需要大量照明设备，如LED路灯。</w:t>
      </w:r>
    </w:p>
    <w:p w14:paraId="70457ED4">
      <w:pPr>
        <w:ind w:firstLine="560" w:firstLineChars="200"/>
        <w:rPr>
          <w:rFonts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/>
          <w:kern w:val="0"/>
          <w:sz w:val="28"/>
          <w:szCs w:val="28"/>
        </w:rPr>
        <w:t>近年来，沙特阿拉伯的二氧化碳排放量大幅增加</w:t>
      </w:r>
      <w:r>
        <w:rPr>
          <w:rFonts w:hint="eastAsia" w:ascii="微软雅黑" w:hAnsi="微软雅黑" w:eastAsia="微软雅黑"/>
          <w:kern w:val="0"/>
          <w:sz w:val="28"/>
          <w:szCs w:val="28"/>
          <w:lang w:eastAsia="zh-CN"/>
        </w:rPr>
        <w:t>，在</w:t>
      </w:r>
      <w:r>
        <w:rPr>
          <w:rFonts w:hint="eastAsia" w:ascii="微软雅黑" w:hAnsi="微软雅黑" w:eastAsia="微软雅黑"/>
          <w:kern w:val="0"/>
          <w:sz w:val="28"/>
          <w:szCs w:val="28"/>
        </w:rPr>
        <w:t xml:space="preserve">2012 年至 2017 年期间，沙特阿拉伯几乎每个部门的二氧化碳排放总量都增加了 20% 以上。为了减少国内的碳排放，沙特政府正与国际机构和私营企业合作，提高国内的能源效率，预计这将对沙特阿拉伯的 </w:t>
      </w:r>
      <w:r>
        <w:rPr>
          <w:rFonts w:hint="eastAsia" w:ascii="微软雅黑" w:hAnsi="微软雅黑" w:eastAsia="微软雅黑"/>
          <w:kern w:val="0"/>
          <w:sz w:val="28"/>
          <w:szCs w:val="28"/>
          <w:lang w:val="en-US" w:eastAsia="zh-CN"/>
        </w:rPr>
        <w:t>LED</w:t>
      </w:r>
      <w:r>
        <w:rPr>
          <w:rFonts w:hint="eastAsia" w:ascii="微软雅黑" w:hAnsi="微软雅黑" w:eastAsia="微软雅黑"/>
          <w:kern w:val="0"/>
          <w:sz w:val="28"/>
          <w:szCs w:val="28"/>
        </w:rPr>
        <w:t xml:space="preserve"> 照明市场产生积极影响。此外，随着经济发展和人口增长速度的加快，预计未来 20 年沙特阿拉伯的电力需求将增长 50%，这将增加对智能照明解决方案的需求，因为这些解决方案可减少 35% 的能源消耗。LED 照明因其设计灵活、可在低电压下工作、使用寿命长、环保节能等特点，在沙特阿拉伯越来越受欢迎。沙特阿拉伯LED照明市场规模预计在2023年至2030年期间增加超过10亿美元的市场收入</w:t>
      </w:r>
      <w:r>
        <w:rPr>
          <w:rFonts w:hint="eastAsia" w:ascii="微软雅黑" w:hAnsi="微软雅黑" w:eastAsia="微软雅黑"/>
          <w:kern w:val="0"/>
          <w:sz w:val="28"/>
          <w:szCs w:val="28"/>
          <w:lang w:eastAsia="zh-CN"/>
        </w:rPr>
        <w:t>。</w:t>
      </w:r>
    </w:p>
    <w:p w14:paraId="1F3334F7">
      <w:pPr>
        <w:ind w:firstLine="560" w:firstLineChars="200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其次，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“智慧城市战略”作为沙特2030愿景的重要组成部分，其为智能照明带来了广阔的市场。从2023年到2028年，沙特智能照明市场的复合年增长率预计将高达7.1%。到2026年，沙特的智能照明市场规模有望达到14.6亿美元。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8"/>
          <w:szCs w:val="28"/>
          <w:shd w:val="clear" w:fill="FFFFFF"/>
        </w:rPr>
        <w:t>根据Mordor Intelligence调查，2024年中东LED照明市场规模预计为40.1亿美元，2024年至2029年之间，预计中东LED照明市场将以每年8.17%的复合增长率增长，在2029年将达到59.4亿美元。</w:t>
      </w:r>
    </w:p>
    <w:p w14:paraId="44E71224">
      <w:pPr>
        <w:ind w:firstLine="560" w:firstLineChars="200"/>
        <w:rPr>
          <w:rFonts w:hint="eastAsia" w:ascii="微软雅黑" w:hAnsi="微软雅黑" w:eastAsia="微软雅黑"/>
          <w:i w:val="0"/>
          <w:iCs w:val="0"/>
          <w:caps w:val="0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/>
          <w:i w:val="0"/>
          <w:iCs w:val="0"/>
          <w:caps w:val="0"/>
          <w:spacing w:val="0"/>
          <w:sz w:val="28"/>
          <w:szCs w:val="28"/>
          <w:shd w:val="clear" w:fill="FFFFFF"/>
        </w:rPr>
        <w:t>同时，随着沙特对LED节能产品和数字广告的需求，以及沙特智能城市/智能家庭项目的增加，LED显示与照明市场空间正加速释放。沙特政府一直在推动节能举措，在私人和公共建筑中大规模安装LED照明系统就是例证。2016年，沙特阿拉伯从中国进口了价值8737万美元的LED照明产品，同比增长近40%。</w:t>
      </w:r>
    </w:p>
    <w:p w14:paraId="3DCDC508">
      <w:pPr>
        <w:ind w:firstLine="560" w:firstLineChars="200"/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根据中国照明电器协会的数据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我国照明产品对“一带一路”沿线国家的出口总额达到44亿美元，其中灯具出口额尤其强劲，同比增长43%，占据了总出口额的46%。前十的消费市场中，沙特阿拉伯等国家表现出显著增长，贡献了50%的出口额，同比增长38%。</w:t>
      </w:r>
    </w:p>
    <w:p w14:paraId="3A8A1103">
      <w:pPr>
        <w:ind w:firstLine="560" w:firstLineChars="200"/>
        <w:rPr>
          <w:rFonts w:hint="eastAsia" w:ascii="微软雅黑" w:hAnsi="微软雅黑" w:eastAsia="微软雅黑"/>
          <w:i w:val="0"/>
          <w:iCs w:val="0"/>
          <w:caps w:val="0"/>
          <w:spacing w:val="0"/>
          <w:sz w:val="28"/>
          <w:szCs w:val="28"/>
          <w:shd w:val="clear" w:fill="FFFFFF"/>
        </w:rPr>
      </w:pPr>
    </w:p>
    <w:p w14:paraId="6DF8DD20">
      <w:pPr>
        <w:rPr>
          <w:rFonts w:hint="eastAsia" w:ascii="微软雅黑" w:hAnsi="微软雅黑" w:eastAsia="微软雅黑" w:cs="宋体"/>
          <w:kern w:val="0"/>
          <w:sz w:val="43"/>
          <w:szCs w:val="43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招展范围</w:t>
      </w:r>
    </w:p>
    <w:p w14:paraId="7F481426">
      <w:pPr>
        <w:widowControl/>
        <w:kinsoku w:val="0"/>
        <w:autoSpaceDE w:val="0"/>
        <w:autoSpaceDN w:val="0"/>
        <w:adjustRightInd w:val="0"/>
        <w:spacing w:line="360" w:lineRule="auto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</w:rPr>
        <w:drawing>
          <wp:inline distT="0" distB="0" distL="114300" distR="114300">
            <wp:extent cx="6426200" cy="2858135"/>
            <wp:effectExtent l="0" t="0" r="12700" b="18415"/>
            <wp:docPr id="5" name="图片 5" descr="E:/李姗/MIE/2025招展资料/9.16-18 2025年沙特照明设计与技术展招展资料/2.png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/李姗/MIE/2025招展资料/9.16-18 2025年沙特照明设计与技术展招展资料/2.png2"/>
                    <pic:cNvPicPr/>
                  </pic:nvPicPr>
                  <pic:blipFill>
                    <a:blip r:embed="rId8"/>
                    <a:srcRect t="16645" b="16645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FC01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开关和其他配件：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照明电器产品配套元器件、零部件：各类开关、电线、电缆、继电器、镇流器、触发器、变压器、绝缘材料、电子元件、灯头、灯座，荧光粉、电子粉、石英管、玻璃管（壳）、电级材料、钨丝及其它专用金属丝材；灯饰配件、光源配件、球泡、蜡尾泡、手电筒、电线电缆、灯座、节能灯、灯泡、电器、T4/T5/T8支架、五金配件、LED配件工具、插座、插头等；</w:t>
      </w:r>
    </w:p>
    <w:p w14:paraId="4A857220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照明控制和组件：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调光控制设备和各类控光器件,光控、声控、红外感应器件、调光台等；</w:t>
      </w:r>
    </w:p>
    <w:p w14:paraId="7C782591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智能照明产品及解决方案：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人工智能，数据分析， 网络安全解决方案，工业自动化，物联网，智能城市，智能技术等；</w:t>
      </w:r>
    </w:p>
    <w:p w14:paraId="284613C1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装饰照明产品及配件：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花灯、布艺灯、水晶灯、壁灯、工艺灯、景观灯、霓虹灯、舞台、电影、电视灯光等；</w:t>
      </w:r>
    </w:p>
    <w:p w14:paraId="23709221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内外照明产品及配件：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整体家居照明、吸顶灯、铝材灯、花灯、布艺灯、浴霸灯、水晶灯、台灯、壁灯、工艺灯、儿童灯、吊灯、LED平板灯、落地灯、集成吊顶照明、防爆、工矿照明、手电筒、LED手电筒、民用灯具、建筑灯具、工矿灯具、太阳能灯具、投光照明灯具、室内灯具、嵌入式灯具、船用荧光照明灯、船用防爆灯具、道路照明灯具、特种车辆标志灯具，防爆灯具，水下照明灯具，应急灯具等；</w:t>
      </w:r>
    </w:p>
    <w:p w14:paraId="30A2CC9D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公共领域的基础设施和照明：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景观灯、太阳能路灯、园林灯、草坪灯、植物仿真灯、庭院灯、路灯、道路灯、水底灯、空气净化等环保灯，公共场所灯具等。</w:t>
      </w:r>
    </w:p>
    <w:p w14:paraId="70906798">
      <w:pPr>
        <w:rPr>
          <w:rFonts w:hint="eastAsia" w:ascii="微软雅黑" w:hAnsi="微软雅黑" w:eastAsia="微软雅黑" w:cs="宋体"/>
          <w:kern w:val="0"/>
          <w:sz w:val="28"/>
          <w:szCs w:val="28"/>
        </w:rPr>
      </w:pPr>
    </w:p>
    <w:p w14:paraId="6EE313C6">
      <w:pPr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合作单位</w:t>
      </w:r>
    </w:p>
    <w:p w14:paraId="44DB9F2B">
      <w:pPr>
        <w:jc w:val="both"/>
        <w:rPr>
          <w:rFonts w:hint="eastAsia" w:ascii="微软雅黑" w:hAnsi="微软雅黑" w:eastAsia="微软雅黑" w:cs="微软雅黑"/>
          <w:b/>
          <w:bCs/>
          <w:sz w:val="40"/>
          <w:szCs w:val="4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eastAsia="zh-CN"/>
        </w:rPr>
        <w:drawing>
          <wp:inline distT="0" distB="0" distL="114300" distR="114300">
            <wp:extent cx="6473825" cy="3533775"/>
            <wp:effectExtent l="0" t="0" r="3175" b="9525"/>
            <wp:docPr id="9" name="Picture 9" descr="84abfc553241454289e713dd7f40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84abfc553241454289e713dd7f4012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95B0">
      <w:pPr>
        <w:jc w:val="both"/>
        <w:rPr>
          <w:rFonts w:hint="eastAsia" w:ascii="微软雅黑" w:hAnsi="微软雅黑" w:eastAsia="微软雅黑" w:cs="微软雅黑"/>
          <w:b/>
          <w:bCs/>
          <w:sz w:val="40"/>
          <w:szCs w:val="4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eastAsia="zh-CN"/>
        </w:rPr>
        <w:drawing>
          <wp:inline distT="0" distB="0" distL="114300" distR="114300">
            <wp:extent cx="6535420" cy="1125220"/>
            <wp:effectExtent l="0" t="0" r="17780" b="17780"/>
            <wp:docPr id="10" name="Picture 10" descr="66b15d5393b6d0e86f443d710794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66b15d5393b6d0e86f443d71079478b"/>
                    <pic:cNvPicPr>
                      <a:picLocks noChangeAspect="1"/>
                    </pic:cNvPicPr>
                  </pic:nvPicPr>
                  <pic:blipFill>
                    <a:blip r:embed="rId10"/>
                    <a:srcRect l="2461"/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6A4A">
      <w:pPr>
        <w:jc w:val="both"/>
        <w:rPr>
          <w:rFonts w:hint="eastAsia" w:ascii="微软雅黑" w:hAnsi="微软雅黑" w:eastAsia="微软雅黑" w:cs="微软雅黑"/>
          <w:b/>
          <w:bCs/>
          <w:sz w:val="40"/>
          <w:szCs w:val="4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eastAsia="zh-CN"/>
        </w:rPr>
        <w:drawing>
          <wp:inline distT="0" distB="0" distL="114300" distR="114300">
            <wp:extent cx="4130675" cy="882015"/>
            <wp:effectExtent l="0" t="0" r="0" b="0"/>
            <wp:docPr id="11" name="Picture 11" descr="6b035d2608ca8af8dc58853507ac1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6b035d2608ca8af8dc58853507ac1e1"/>
                    <pic:cNvPicPr>
                      <a:picLocks noChangeAspect="1"/>
                    </pic:cNvPicPr>
                  </pic:nvPicPr>
                  <pic:blipFill>
                    <a:blip r:embed="rId11"/>
                    <a:srcRect l="1752"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850" w:bottom="567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CA90B2"/>
    <w:multiLevelType w:val="singleLevel"/>
    <w:tmpl w:val="2CCA90B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IwZTUyNjZlMWNiZTRhYWQ0OWNkYjI5YjM0NGI4NGUifQ=="/>
  </w:docVars>
  <w:rsids>
    <w:rsidRoot w:val="00B6574A"/>
    <w:rsid w:val="003F1C34"/>
    <w:rsid w:val="005A3F8A"/>
    <w:rsid w:val="00916679"/>
    <w:rsid w:val="00932060"/>
    <w:rsid w:val="00B6574A"/>
    <w:rsid w:val="00C25DA9"/>
    <w:rsid w:val="00DC4B20"/>
    <w:rsid w:val="05334C8F"/>
    <w:rsid w:val="06E13031"/>
    <w:rsid w:val="0B365CE9"/>
    <w:rsid w:val="0B7C0C84"/>
    <w:rsid w:val="0DC710FF"/>
    <w:rsid w:val="0E1924B1"/>
    <w:rsid w:val="0F2C7498"/>
    <w:rsid w:val="12510F14"/>
    <w:rsid w:val="14077076"/>
    <w:rsid w:val="14AF564D"/>
    <w:rsid w:val="15DF5D8E"/>
    <w:rsid w:val="16D15771"/>
    <w:rsid w:val="18A04275"/>
    <w:rsid w:val="1A2E36BB"/>
    <w:rsid w:val="1A376513"/>
    <w:rsid w:val="1B9B7061"/>
    <w:rsid w:val="1BE3722C"/>
    <w:rsid w:val="1C0C112C"/>
    <w:rsid w:val="1C151CD2"/>
    <w:rsid w:val="1C195C44"/>
    <w:rsid w:val="1E2500D2"/>
    <w:rsid w:val="1E3B087D"/>
    <w:rsid w:val="205D622D"/>
    <w:rsid w:val="218477E9"/>
    <w:rsid w:val="229C69EC"/>
    <w:rsid w:val="2BDF4C1A"/>
    <w:rsid w:val="2EDF5ABE"/>
    <w:rsid w:val="33630DEB"/>
    <w:rsid w:val="3445641A"/>
    <w:rsid w:val="34484AA8"/>
    <w:rsid w:val="38005569"/>
    <w:rsid w:val="380D6CBB"/>
    <w:rsid w:val="39534671"/>
    <w:rsid w:val="3BAB11C6"/>
    <w:rsid w:val="3D1D4DB4"/>
    <w:rsid w:val="404210CF"/>
    <w:rsid w:val="442C5D93"/>
    <w:rsid w:val="454F7F8B"/>
    <w:rsid w:val="4AD925AC"/>
    <w:rsid w:val="51E41418"/>
    <w:rsid w:val="538F717E"/>
    <w:rsid w:val="55006BAB"/>
    <w:rsid w:val="57212A84"/>
    <w:rsid w:val="5AFB2065"/>
    <w:rsid w:val="5BDC51D4"/>
    <w:rsid w:val="5C861D42"/>
    <w:rsid w:val="5CD94967"/>
    <w:rsid w:val="5E007B96"/>
    <w:rsid w:val="600D4872"/>
    <w:rsid w:val="62806114"/>
    <w:rsid w:val="652142E4"/>
    <w:rsid w:val="683242A3"/>
    <w:rsid w:val="6AE36F0E"/>
    <w:rsid w:val="6CD571E0"/>
    <w:rsid w:val="6FD967A8"/>
    <w:rsid w:val="703F2826"/>
    <w:rsid w:val="759C0500"/>
    <w:rsid w:val="76361D1C"/>
    <w:rsid w:val="77832511"/>
    <w:rsid w:val="78684FE3"/>
    <w:rsid w:val="79914E8B"/>
    <w:rsid w:val="7F96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Cs w:val="21"/>
      <w:lang w:eastAsia="en-US"/>
    </w:rPr>
  </w:style>
  <w:style w:type="paragraph" w:styleId="3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table" w:customStyle="1" w:styleId="11">
    <w:name w:val="Table Normal1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font11"/>
    <w:basedOn w:val="7"/>
    <w:autoRedefine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14">
    <w:name w:val="wdyuqq"/>
    <w:basedOn w:val="7"/>
    <w:qFormat/>
    <w:uiPriority w:val="0"/>
  </w:style>
  <w:style w:type="character" w:customStyle="1" w:styleId="15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1919</Words>
  <Characters>2179</Characters>
  <Lines>12</Lines>
  <Paragraphs>3</Paragraphs>
  <TotalTime>26</TotalTime>
  <ScaleCrop>false</ScaleCrop>
  <LinksUpToDate>false</LinksUpToDate>
  <CharactersWithSpaces>2239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2024-05-08T09:46:00Z</dcterms:created>
  <dc:creator>admin</dc:creator>
  <cp:lastModifiedBy>WPS_1699857115</cp:lastModifiedBy>
  <dcterms:modified xsi:type="dcterms:W3CDTF">2024-10-25T08:36:54Z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8BF89E3181E24FBB8041993E63AEF7A3_13</vt:lpwstr>
  </property>
</Properties>
</file>