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pStyle w:val="2"/>
        <w:jc w:val="center"/>
      </w:pPr>
      <w:r>
        <w:rPr>
          <w:rFonts w:hint="eastAsia" w:ascii="微软雅黑" w:hAnsi="微软雅黑" w:eastAsia="微软雅黑" w:cs="微软雅黑"/>
          <w:b/>
          <w:bCs/>
          <w:kern w:val="0"/>
          <w:sz w:val="72"/>
          <w:szCs w:val="72"/>
          <w:lang w:val="en-US" w:eastAsia="zh-CN"/>
        </w:rPr>
        <w:t>2024年</w:t>
      </w:r>
      <w:r>
        <w:rPr>
          <w:rFonts w:hint="eastAsia" w:ascii="微软雅黑" w:hAnsi="微软雅黑" w:eastAsia="微软雅黑"/>
          <w:b/>
          <w:sz w:val="72"/>
          <w:szCs w:val="72"/>
        </w:rPr>
        <w:t>阿布扎比石油展</w:t>
      </w:r>
    </w:p>
    <w:p>
      <w:pPr>
        <w:jc w:val="center"/>
        <w:rPr>
          <w:rFonts w:hint="eastAsia" w:eastAsiaTheme="minorEastAsia"/>
          <w:lang w:eastAsia="zh-CN"/>
        </w:rPr>
      </w:pPr>
      <w:r>
        <w:rPr>
          <w:rFonts w:hint="eastAsia" w:eastAsiaTheme="minorEastAsia"/>
          <w:lang w:eastAsia="zh-CN"/>
        </w:rPr>
        <w:drawing>
          <wp:inline distT="0" distB="0" distL="114300" distR="114300">
            <wp:extent cx="1501140" cy="768985"/>
            <wp:effectExtent l="0" t="0" r="3810" b="12065"/>
            <wp:docPr id="7" name="图片 7" descr="阿布扎比石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阿布扎比石油"/>
                    <pic:cNvPicPr>
                      <a:picLocks noChangeAspect="1"/>
                    </pic:cNvPicPr>
                  </pic:nvPicPr>
                  <pic:blipFill>
                    <a:blip r:embed="rId5"/>
                    <a:stretch>
                      <a:fillRect/>
                    </a:stretch>
                  </pic:blipFill>
                  <pic:spPr>
                    <a:xfrm>
                      <a:off x="0" y="0"/>
                      <a:ext cx="1501140" cy="768985"/>
                    </a:xfrm>
                    <a:prstGeom prst="rect">
                      <a:avLst/>
                    </a:prstGeom>
                  </pic:spPr>
                </pic:pic>
              </a:graphicData>
            </a:graphic>
          </wp:inline>
        </w:drawing>
      </w:r>
    </w:p>
    <w:p>
      <w:pPr>
        <w:jc w:val="center"/>
        <w:rPr>
          <w:rFonts w:hint="eastAsia" w:ascii="微软雅黑" w:hAnsi="微软雅黑" w:eastAsia="微软雅黑" w:cs="微软雅黑"/>
          <w:b/>
          <w:bCs/>
          <w:sz w:val="18"/>
          <w:szCs w:val="18"/>
          <w:lang w:val="en-US" w:eastAsia="zh-CN"/>
        </w:rPr>
      </w:pP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bookmarkStart w:id="0" w:name="_GoBack"/>
      <w:bookmarkEnd w:id="0"/>
    </w:p>
    <w:p>
      <w:pPr>
        <w:pStyle w:val="3"/>
        <w:spacing w:before="96" w:line="188" w:lineRule="auto"/>
        <w:ind w:left="169"/>
        <w:jc w:val="left"/>
        <w:rPr>
          <w:rFonts w:hint="eastAsia"/>
          <w:b/>
          <w:bCs/>
          <w:color w:val="auto"/>
          <w:spacing w:val="5"/>
          <w:sz w:val="28"/>
          <w:szCs w:val="28"/>
          <w:lang w:val="en-US" w:eastAsia="zh-CN"/>
        </w:rPr>
      </w:pPr>
      <w:r>
        <w:rPr>
          <w:rFonts w:hint="eastAsia"/>
          <w:b/>
          <w:bCs/>
          <w:color w:val="auto"/>
          <w:spacing w:val="5"/>
          <w:sz w:val="28"/>
          <w:szCs w:val="28"/>
          <w:lang w:val="en-US" w:eastAsia="en-US"/>
        </w:rPr>
        <w:t>●</w:t>
      </w:r>
      <w:r>
        <w:rPr>
          <w:rFonts w:hint="eastAsia"/>
          <w:b/>
          <w:bCs/>
          <w:color w:val="auto"/>
          <w:spacing w:val="5"/>
          <w:sz w:val="28"/>
          <w:szCs w:val="28"/>
          <w:lang w:val="en-US" w:eastAsia="zh-CN"/>
        </w:rPr>
        <w:t xml:space="preserve"> 展会时间：2024年11月04-07日   展会地点：阿布扎比国际展览中心</w:t>
      </w:r>
    </w:p>
    <w:p>
      <w:pPr>
        <w:pStyle w:val="3"/>
        <w:spacing w:before="96" w:line="188" w:lineRule="auto"/>
        <w:ind w:left="169"/>
        <w:jc w:val="left"/>
        <w:rPr>
          <w:rFonts w:hint="default"/>
          <w:b/>
          <w:bCs/>
          <w:color w:val="auto"/>
          <w:spacing w:val="5"/>
          <w:sz w:val="28"/>
          <w:szCs w:val="28"/>
          <w:lang w:val="en-US" w:eastAsia="zh-CN"/>
        </w:rPr>
      </w:pPr>
      <w:r>
        <w:rPr>
          <w:rFonts w:hint="eastAsia"/>
          <w:b/>
          <w:bCs/>
          <w:color w:val="auto"/>
          <w:spacing w:val="5"/>
          <w:sz w:val="28"/>
          <w:szCs w:val="28"/>
          <w:lang w:val="en-US" w:eastAsia="zh-CN"/>
        </w:rPr>
        <w:t>● 主办单位：</w:t>
      </w:r>
      <w:r>
        <w:rPr>
          <w:rFonts w:hint="eastAsia" w:ascii="微软雅黑" w:hAnsi="微软雅黑" w:eastAsia="微软雅黑" w:cs="Arial"/>
          <w:b/>
          <w:sz w:val="28"/>
          <w:szCs w:val="28"/>
          <w:shd w:val="clear" w:color="auto" w:fill="FFFFFF"/>
        </w:rPr>
        <w:t>DMG</w:t>
      </w:r>
      <w:r>
        <w:rPr>
          <w:rFonts w:ascii="微软雅黑" w:hAnsi="微软雅黑" w:eastAsia="微软雅黑" w:cs="Arial"/>
          <w:b/>
          <w:sz w:val="28"/>
          <w:szCs w:val="28"/>
          <w:shd w:val="clear" w:color="auto" w:fill="FFFFFF"/>
        </w:rPr>
        <w:t xml:space="preserve"> </w:t>
      </w:r>
      <w:r>
        <w:rPr>
          <w:rFonts w:hint="eastAsia" w:ascii="微软雅黑" w:hAnsi="微软雅黑" w:eastAsia="微软雅黑" w:cs="Arial"/>
          <w:b/>
          <w:sz w:val="28"/>
          <w:szCs w:val="28"/>
          <w:shd w:val="clear" w:color="auto" w:fill="FFFFFF"/>
        </w:rPr>
        <w:t>&amp;</w:t>
      </w:r>
      <w:r>
        <w:rPr>
          <w:rFonts w:ascii="微软雅黑" w:hAnsi="微软雅黑" w:eastAsia="微软雅黑" w:cs="Arial"/>
          <w:b/>
          <w:sz w:val="28"/>
          <w:szCs w:val="28"/>
          <w:shd w:val="clear" w:color="auto" w:fill="FFFFFF"/>
        </w:rPr>
        <w:t xml:space="preserve"> </w:t>
      </w:r>
      <w:r>
        <w:rPr>
          <w:rFonts w:hint="eastAsia" w:ascii="微软雅黑" w:hAnsi="微软雅黑" w:eastAsia="微软雅黑" w:cs="Arial"/>
          <w:b/>
          <w:sz w:val="28"/>
          <w:szCs w:val="28"/>
          <w:shd w:val="clear" w:color="auto" w:fill="FFFFFF"/>
        </w:rPr>
        <w:t>ADNOC</w:t>
      </w:r>
      <w:r>
        <w:rPr>
          <w:rFonts w:hint="eastAsia"/>
          <w:b/>
          <w:bCs/>
          <w:color w:val="auto"/>
          <w:spacing w:val="5"/>
          <w:sz w:val="28"/>
          <w:szCs w:val="28"/>
          <w:lang w:val="en-US" w:eastAsia="zh-CN"/>
        </w:rPr>
        <w:t xml:space="preserve">         举办届数：第四十届</w:t>
      </w:r>
    </w:p>
    <w:p>
      <w:pPr>
        <w:pStyle w:val="3"/>
        <w:spacing w:before="96" w:line="188" w:lineRule="auto"/>
        <w:ind w:left="169"/>
        <w:jc w:val="left"/>
        <w:rPr>
          <w:rFonts w:hint="eastAsia"/>
          <w:b/>
          <w:bCs/>
          <w:color w:val="auto"/>
          <w:spacing w:val="5"/>
          <w:sz w:val="24"/>
          <w:szCs w:val="24"/>
          <w:lang w:val="en-US" w:eastAsia="zh-CN"/>
        </w:rPr>
      </w:pPr>
      <w:r>
        <w:rPr>
          <w:position w:val="-61"/>
        </w:rPr>
        <w:drawing>
          <wp:anchor distT="0" distB="0" distL="0" distR="0" simplePos="0" relativeHeight="251659264" behindDoc="0" locked="0" layoutInCell="1" allowOverlap="1">
            <wp:simplePos x="0" y="0"/>
            <wp:positionH relativeFrom="column">
              <wp:posOffset>35560</wp:posOffset>
            </wp:positionH>
            <wp:positionV relativeFrom="paragraph">
              <wp:posOffset>144145</wp:posOffset>
            </wp:positionV>
            <wp:extent cx="6416675" cy="2728595"/>
            <wp:effectExtent l="0" t="0" r="3175" b="14605"/>
            <wp:wrapTopAndBottom/>
            <wp:docPr id="6" name="IM 6" descr="E:/李姗/MIE/招展资料—改后/2024.10/10. 阿布扎比石油展 ADIPEC/aac_5166.jpgaac_5166"/>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10/10. 阿布扎比石油展 ADIPEC/aac_5166.jpgaac_5166"/>
                    <pic:cNvPicPr/>
                  </pic:nvPicPr>
                  <pic:blipFill>
                    <a:blip r:embed="rId6"/>
                    <a:srcRect t="18060" b="18060"/>
                    <a:stretch>
                      <a:fillRect/>
                    </a:stretch>
                  </pic:blipFill>
                  <pic:spPr>
                    <a:xfrm>
                      <a:off x="0" y="0"/>
                      <a:ext cx="6416675" cy="272859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阿布扎比国际石油博览会（ADIPEC）自1984年创办首届至今，历经四十年发展，成为世界排名第一，规模最大，辐射范围最广的石油行业展会。</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2023年ADIPEC共有超2200家企业参展，18.4万名行业代表参观，再创历史新高！成为世界排名第一石油展</w:t>
      </w:r>
      <w:r>
        <w:rPr>
          <w:rFonts w:hint="eastAsia" w:ascii="微软雅黑" w:hAnsi="微软雅黑" w:eastAsia="微软雅黑"/>
          <w:sz w:val="28"/>
          <w:szCs w:val="28"/>
          <w:lang w:eastAsia="zh-CN"/>
        </w:rPr>
        <w:t>。</w:t>
      </w:r>
      <w:r>
        <w:rPr>
          <w:rFonts w:hint="eastAsia" w:ascii="微软雅黑" w:hAnsi="微软雅黑" w:eastAsia="微软雅黑"/>
          <w:sz w:val="28"/>
          <w:szCs w:val="28"/>
          <w:lang w:val="en-US" w:eastAsia="zh-CN"/>
        </w:rPr>
        <w:t>展会</w:t>
      </w:r>
      <w:r>
        <w:rPr>
          <w:rFonts w:hint="eastAsia" w:ascii="微软雅黑" w:hAnsi="微软雅黑" w:eastAsia="微软雅黑"/>
          <w:sz w:val="28"/>
          <w:szCs w:val="28"/>
        </w:rPr>
        <w:t>设立30个国家展团，吸引54个国家石油公司，2200家参展商参展其中包括英国BP公司、法国TOTAL公司、沙特阿美石油公司、俄罗斯LUK OIL等诸多极具影响力的全球能源巨头公司还有以振华石油、中石油、中石化、中海油为代表的230余家中国企业参展并以最大的展出面积使中国馆成功获得最大展馆奖！展会还举行了10个峰会，350个分论坛，带来1600个发言嘉宾，15000名参会嘉宾，形成跨部门合作的新模式，以释放和最大化跨业务的价值，并推动交流合作的达成。</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自2008年起，MIE集团一直担任ADIPEC官方认证总代理，2023年带领500余名中国企业代表出团ADPEC展会现场，在中国展区4000余平展位上助力企业建立业务联系及合作机会，帮助中国企业走向世界。展出成果显著！</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2024年阿布扎比国际石油</w:t>
      </w:r>
      <w:r>
        <w:rPr>
          <w:rFonts w:hint="eastAsia" w:ascii="微软雅黑" w:hAnsi="微软雅黑" w:eastAsia="微软雅黑"/>
          <w:sz w:val="28"/>
          <w:szCs w:val="28"/>
          <w:lang w:val="en-US" w:eastAsia="zh-CN"/>
        </w:rPr>
        <w:t>展</w:t>
      </w:r>
      <w:r>
        <w:rPr>
          <w:rFonts w:hint="eastAsia" w:ascii="微软雅黑" w:hAnsi="微软雅黑" w:eastAsia="微软雅黑"/>
          <w:sz w:val="28"/>
          <w:szCs w:val="28"/>
        </w:rPr>
        <w:t>将于2024年11月</w:t>
      </w:r>
      <w:r>
        <w:rPr>
          <w:rFonts w:hint="eastAsia" w:ascii="微软雅黑" w:hAnsi="微软雅黑" w:eastAsia="微软雅黑"/>
          <w:sz w:val="28"/>
          <w:szCs w:val="28"/>
          <w:lang w:val="en-US" w:eastAsia="zh-CN"/>
        </w:rPr>
        <w:t>04-07</w:t>
      </w:r>
      <w:r>
        <w:rPr>
          <w:rFonts w:hint="eastAsia" w:ascii="微软雅黑" w:hAnsi="微软雅黑" w:eastAsia="微软雅黑"/>
          <w:sz w:val="28"/>
          <w:szCs w:val="28"/>
        </w:rPr>
        <w:t>日举办，预计2024年将吸引超2200家企业参展，超20万行业代表参观！</w:t>
      </w:r>
    </w:p>
    <w:tbl>
      <w:tblPr>
        <w:tblStyle w:val="7"/>
        <w:tblpPr w:leftFromText="180" w:rightFromText="180" w:vertAnchor="text" w:horzAnchor="page" w:tblpXSpec="center" w:tblpY="234"/>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2200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200</w:t>
            </w:r>
            <w:r>
              <w:rPr>
                <w:rFonts w:ascii="微软雅黑" w:hAnsi="微软雅黑" w:eastAsia="微软雅黑" w:cs="微软雅黑"/>
                <w:spacing w:val="-3"/>
                <w:sz w:val="28"/>
                <w:szCs w:val="28"/>
              </w:rPr>
              <w:t>,000+</w:t>
            </w:r>
          </w:p>
        </w:tc>
        <w:tc>
          <w:tcPr>
            <w:tcW w:w="2419" w:type="dxa"/>
            <w:vAlign w:val="top"/>
          </w:tcPr>
          <w:p>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140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ind w:left="587"/>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140</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sz w:val="21"/>
          <w:szCs w:val="21"/>
        </w:rPr>
      </w:pPr>
      <w:r>
        <w:rPr>
          <w:position w:val="-71"/>
        </w:rPr>
        <w:drawing>
          <wp:inline distT="0" distB="0" distL="0" distR="0">
            <wp:extent cx="6424930" cy="2087245"/>
            <wp:effectExtent l="0" t="0" r="13970" b="8255"/>
            <wp:docPr id="8" name="IM 8" descr="E:/李姗/MIE/招展资料—改后/2024.10/10. 阿布扎比石油展 ADIPEC/微信图片_20231013115714.jpg微信图片_20231013115714"/>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10/10. 阿布扎比石油展 ADIPEC/微信图片_20231013115714.jpg微信图片_20231013115714"/>
                    <pic:cNvPicPr/>
                  </pic:nvPicPr>
                  <pic:blipFill>
                    <a:blip r:embed="rId7"/>
                    <a:srcRect l="-158" t="39067" r="158" b="7473"/>
                    <a:stretch>
                      <a:fillRect/>
                    </a:stretch>
                  </pic:blipFill>
                  <pic:spPr>
                    <a:xfrm>
                      <a:off x="0" y="0"/>
                      <a:ext cx="6424930" cy="208724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根据阿联酋能源部门的数据，阿布扎比是阿联酋最大的石油生产地，约占阿联酋总产量的95%。</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阿联酋推出</w:t>
      </w:r>
      <w:r>
        <w:rPr>
          <w:rFonts w:hint="eastAsia" w:ascii="微软雅黑" w:hAnsi="微软雅黑" w:eastAsia="微软雅黑"/>
          <w:sz w:val="28"/>
          <w:szCs w:val="28"/>
          <w:lang w:val="en-US" w:eastAsia="zh-CN"/>
        </w:rPr>
        <w:t>了</w:t>
      </w:r>
      <w:r>
        <w:rPr>
          <w:rFonts w:hint="eastAsia" w:ascii="微软雅黑" w:hAnsi="微软雅黑" w:eastAsia="微软雅黑"/>
          <w:sz w:val="28"/>
          <w:szCs w:val="28"/>
        </w:rPr>
        <w:t>全新</w:t>
      </w:r>
      <w:r>
        <w:rPr>
          <w:rFonts w:hint="eastAsia" w:ascii="微软雅黑" w:hAnsi="微软雅黑" w:eastAsia="微软雅黑"/>
          <w:sz w:val="28"/>
          <w:szCs w:val="28"/>
          <w:lang w:val="en-US" w:eastAsia="zh-CN"/>
        </w:rPr>
        <w:t>的</w:t>
      </w:r>
      <w:r>
        <w:rPr>
          <w:rFonts w:hint="eastAsia" w:ascii="微软雅黑" w:hAnsi="微软雅黑" w:eastAsia="微软雅黑"/>
          <w:sz w:val="28"/>
          <w:szCs w:val="28"/>
        </w:rPr>
        <w:t>能源战略“3000亿迪拉姆行动”，旨在未来10年内，将阿联酋工业领域的产值贡献从目前的1330亿迪拉姆，提高到3000亿迪拉姆（约合810亿美元）。阿联酋官方表示，这一目标很大程度上将通过创建1.35万个工业公司来实现，这些公司涵盖电力、天然气、矿业、制造业等。</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阿联酋能源巨头阿布扎比国家石油公司(ADNOC)</w:t>
      </w:r>
      <w:r>
        <w:rPr>
          <w:rFonts w:hint="eastAsia" w:ascii="微软雅黑" w:hAnsi="微软雅黑" w:eastAsia="微软雅黑"/>
          <w:sz w:val="28"/>
          <w:szCs w:val="28"/>
          <w:lang w:eastAsia="zh-CN"/>
        </w:rPr>
        <w:t>，</w:t>
      </w:r>
      <w:r>
        <w:rPr>
          <w:rFonts w:hint="eastAsia" w:ascii="微软雅黑" w:hAnsi="微软雅黑" w:eastAsia="微软雅黑"/>
          <w:sz w:val="28"/>
          <w:szCs w:val="28"/>
        </w:rPr>
        <w:t>本次展会主办方之一，计划在未来五年内将能源投资额增加到1500亿美元，阿布扎比经济发展部宣布将在2027年前提供100个投资机会，总市场规模达123亿迪拉姆。</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2023年阿联酋能源巨头阿布扎比国家石油公司（ADNOC）宣布开发Hail和Ghasha海上天然气项目，并授出价值169.4亿美元的两个建设合同，旨在实现二氧化碳净零排放，并称这将是世界上第一个实现二氧化碳净零排放的天然气项目。阿联酋能源项目的确立催生了对能源石油市场的大量需求！</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1"/>
          <w:szCs w:val="21"/>
        </w:rPr>
      </w:pPr>
      <w:r>
        <w:rPr>
          <w:rFonts w:hint="eastAsia" w:ascii="微软雅黑" w:hAnsi="微软雅黑" w:eastAsia="微软雅黑"/>
          <w:sz w:val="28"/>
          <w:szCs w:val="28"/>
        </w:rPr>
        <w:t>阿布扎比石油行业的业务涵盖了石油产业链的各个环节，包括勘探、开发、生产、炼油、销售和运输等。由于其丰富的石油资源，阿布扎比石油公司在国内外市场上具有</w:t>
      </w:r>
      <w:r>
        <w:rPr>
          <w:rFonts w:hint="eastAsia" w:ascii="微软雅黑" w:hAnsi="微软雅黑" w:eastAsia="微软雅黑"/>
          <w:sz w:val="28"/>
          <w:szCs w:val="28"/>
          <w:lang w:val="en-US" w:eastAsia="zh-CN"/>
        </w:rPr>
        <w:t>相当大的</w:t>
      </w:r>
      <w:r>
        <w:rPr>
          <w:rFonts w:hint="eastAsia" w:ascii="微软雅黑" w:hAnsi="微软雅黑" w:eastAsia="微软雅黑"/>
          <w:sz w:val="28"/>
          <w:szCs w:val="28"/>
        </w:rPr>
        <w:t>影响力。</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微软雅黑"/>
          <w:b/>
          <w:bCs/>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招展资料—改后/2024.10/10. 阿布扎比石油展 ADIPEC/640 (1).jpg640 (1)"/>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10/10. 阿布扎比石油展 ADIPEC/640 (1).jpg640 (1)"/>
                    <pic:cNvPicPr/>
                  </pic:nvPicPr>
                  <pic:blipFill>
                    <a:blip r:embed="rId8"/>
                    <a:srcRect t="21682" b="21682"/>
                    <a:stretch>
                      <a:fillRect/>
                    </a:stretch>
                  </pic:blipFill>
                  <pic:spPr>
                    <a:xfrm>
                      <a:off x="0" y="0"/>
                      <a:ext cx="6415405" cy="2728595"/>
                    </a:xfrm>
                    <a:prstGeom prst="rect">
                      <a:avLst/>
                    </a:prstGeom>
                  </pic:spPr>
                </pic:pic>
              </a:graphicData>
            </a:graphic>
          </wp:inline>
        </w:drawing>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机械设备: </w:t>
      </w:r>
      <w:r>
        <w:rPr>
          <w:rFonts w:hint="eastAsia" w:ascii="微软雅黑" w:hAnsi="微软雅黑" w:eastAsia="微软雅黑"/>
          <w:sz w:val="28"/>
          <w:szCs w:val="28"/>
        </w:rPr>
        <w:t>油井设备、焊接技术和设备、分离设备、油罐设备、起重设备、通风设备、叶轮机、各种金属制管道和橡皮制软管及其连接装置、电动传送装置、及其装配等 </w:t>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仪器仪表: </w:t>
      </w:r>
      <w:r>
        <w:rPr>
          <w:rFonts w:hint="eastAsia" w:ascii="微软雅黑" w:hAnsi="微软雅黑" w:eastAsia="微软雅黑"/>
          <w:sz w:val="28"/>
          <w:szCs w:val="28"/>
        </w:rPr>
        <w:t>阀门、变压器、温度感应器、稳定器、记录器、过滤器、测量仪器、气体计量仪表、法兰等；</w:t>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技术服务：</w:t>
      </w:r>
      <w:r>
        <w:rPr>
          <w:rFonts w:hint="eastAsia" w:ascii="微软雅黑" w:hAnsi="微软雅黑" w:eastAsia="微软雅黑"/>
          <w:sz w:val="28"/>
          <w:szCs w:val="28"/>
        </w:rPr>
        <w:t>分离技术、勘测、测绘技术、油库工程、提炼、精制、提纯技术、质量检测手段、汽油泵、污染控制防护、压力传递检测技术、液化技术等 </w:t>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cs="宋体"/>
          <w:color w:val="333333"/>
          <w:kern w:val="0"/>
          <w:szCs w:val="21"/>
          <w:lang w:val="en-US" w:eastAsia="zh-CN"/>
        </w:rPr>
      </w:pPr>
      <w:r>
        <w:rPr>
          <w:rFonts w:hint="eastAsia" w:ascii="微软雅黑" w:hAnsi="微软雅黑" w:eastAsia="微软雅黑"/>
          <w:b/>
          <w:bCs/>
          <w:sz w:val="28"/>
          <w:szCs w:val="28"/>
        </w:rPr>
        <w:t>泵阀:</w:t>
      </w:r>
      <w:r>
        <w:rPr>
          <w:rFonts w:hint="eastAsia" w:ascii="微软雅黑" w:hAnsi="微软雅黑" w:eastAsia="微软雅黑"/>
          <w:sz w:val="28"/>
          <w:szCs w:val="28"/>
        </w:rPr>
        <w:t> 阀门、泵、压缩机、风机、空分设备、真空设备、千斤顶、锅炉、熔炉，压力容器，冷却机器、法兰、管道、软管及其连接装置、工业防爆产品、工业供电，电动传送装置及其装配,及各种配套设备及化工机械</w:t>
      </w:r>
    </w:p>
    <w:p>
      <w:pPr>
        <w:widowControl/>
        <w:numPr>
          <w:ilvl w:val="0"/>
          <w:numId w:val="0"/>
        </w:numPr>
        <w:shd w:val="clear" w:color="auto" w:fill="FFFFFF"/>
        <w:wordWrap w:val="0"/>
        <w:spacing w:line="432" w:lineRule="atLeast"/>
        <w:ind w:leftChars="0"/>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合作伙伴</w:t>
      </w:r>
    </w:p>
    <w:p>
      <w:pPr>
        <w:widowControl/>
        <w:numPr>
          <w:ilvl w:val="0"/>
          <w:numId w:val="0"/>
        </w:numPr>
        <w:shd w:val="clear" w:color="auto" w:fill="FFFFFF"/>
        <w:wordWrap w:val="0"/>
        <w:spacing w:line="432" w:lineRule="atLeast"/>
        <w:ind w:leftChars="0"/>
        <w:jc w:val="center"/>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drawing>
          <wp:inline distT="0" distB="0" distL="114300" distR="114300">
            <wp:extent cx="5681980" cy="487045"/>
            <wp:effectExtent l="0" t="0" r="13970" b="8255"/>
            <wp:docPr id="22" name="图片 22" descr="QQ截图202310131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31013113550"/>
                    <pic:cNvPicPr>
                      <a:picLocks noChangeAspect="1"/>
                    </pic:cNvPicPr>
                  </pic:nvPicPr>
                  <pic:blipFill>
                    <a:blip r:embed="rId9"/>
                    <a:stretch>
                      <a:fillRect/>
                    </a:stretch>
                  </pic:blipFill>
                  <pic:spPr>
                    <a:xfrm>
                      <a:off x="0" y="0"/>
                      <a:ext cx="5681980" cy="487045"/>
                    </a:xfrm>
                    <a:prstGeom prst="rect">
                      <a:avLst/>
                    </a:prstGeom>
                  </pic:spPr>
                </pic:pic>
              </a:graphicData>
            </a:graphic>
          </wp:inline>
        </w:drawing>
      </w:r>
      <w:r>
        <w:rPr>
          <w:rFonts w:hint="eastAsia" w:ascii="微软雅黑" w:hAnsi="微软雅黑" w:eastAsia="微软雅黑" w:cs="微软雅黑"/>
          <w:b/>
          <w:bCs/>
          <w:sz w:val="40"/>
          <w:szCs w:val="40"/>
          <w:lang w:val="en-US" w:eastAsia="zh-CN"/>
        </w:rPr>
        <w:drawing>
          <wp:inline distT="0" distB="0" distL="114300" distR="114300">
            <wp:extent cx="5899150" cy="559435"/>
            <wp:effectExtent l="0" t="0" r="6350" b="12065"/>
            <wp:docPr id="21" name="图片 21" descr="QQ截图2023101311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1013113558"/>
                    <pic:cNvPicPr>
                      <a:picLocks noChangeAspect="1"/>
                    </pic:cNvPicPr>
                  </pic:nvPicPr>
                  <pic:blipFill>
                    <a:blip r:embed="rId10"/>
                    <a:stretch>
                      <a:fillRect/>
                    </a:stretch>
                  </pic:blipFill>
                  <pic:spPr>
                    <a:xfrm>
                      <a:off x="0" y="0"/>
                      <a:ext cx="5899150" cy="559435"/>
                    </a:xfrm>
                    <a:prstGeom prst="rect">
                      <a:avLst/>
                    </a:prstGeom>
                  </pic:spPr>
                </pic:pic>
              </a:graphicData>
            </a:graphic>
          </wp:inline>
        </w:drawing>
      </w:r>
      <w:r>
        <w:rPr>
          <w:rFonts w:hint="eastAsia" w:ascii="微软雅黑" w:hAnsi="微软雅黑" w:eastAsia="微软雅黑" w:cs="微软雅黑"/>
          <w:b/>
          <w:bCs/>
          <w:sz w:val="40"/>
          <w:szCs w:val="40"/>
          <w:lang w:val="en-US" w:eastAsia="zh-CN"/>
        </w:rPr>
        <w:drawing>
          <wp:inline distT="0" distB="0" distL="114300" distR="114300">
            <wp:extent cx="5524500" cy="514985"/>
            <wp:effectExtent l="0" t="0" r="0" b="18415"/>
            <wp:docPr id="20" name="图片 20" descr="QQ截图2023101311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1013113606"/>
                    <pic:cNvPicPr>
                      <a:picLocks noChangeAspect="1"/>
                    </pic:cNvPicPr>
                  </pic:nvPicPr>
                  <pic:blipFill>
                    <a:blip r:embed="rId11"/>
                    <a:stretch>
                      <a:fillRect/>
                    </a:stretch>
                  </pic:blipFill>
                  <pic:spPr>
                    <a:xfrm>
                      <a:off x="0" y="0"/>
                      <a:ext cx="5524500" cy="514985"/>
                    </a:xfrm>
                    <a:prstGeom prst="rect">
                      <a:avLst/>
                    </a:prstGeom>
                  </pic:spPr>
                </pic:pic>
              </a:graphicData>
            </a:graphic>
          </wp:inline>
        </w:drawing>
      </w:r>
      <w:r>
        <w:rPr>
          <w:rFonts w:hint="eastAsia" w:ascii="微软雅黑" w:hAnsi="微软雅黑" w:eastAsia="微软雅黑" w:cs="宋体"/>
          <w:color w:val="333333"/>
          <w:kern w:val="0"/>
          <w:szCs w:val="21"/>
          <w:lang w:val="en-US" w:eastAsia="zh-CN"/>
        </w:rPr>
        <w:drawing>
          <wp:inline distT="0" distB="0" distL="114300" distR="114300">
            <wp:extent cx="5644515" cy="3175000"/>
            <wp:effectExtent l="0" t="0" r="13335" b="6350"/>
            <wp:docPr id="23" name="图片 23" descr="ec8bdb8c12bf7966639a55915c59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c8bdb8c12bf7966639a55915c598c8"/>
                    <pic:cNvPicPr>
                      <a:picLocks noChangeAspect="1"/>
                    </pic:cNvPicPr>
                  </pic:nvPicPr>
                  <pic:blipFill>
                    <a:blip r:embed="rId12"/>
                    <a:stretch>
                      <a:fillRect/>
                    </a:stretch>
                  </pic:blipFill>
                  <pic:spPr>
                    <a:xfrm>
                      <a:off x="0" y="0"/>
                      <a:ext cx="5644515" cy="3175000"/>
                    </a:xfrm>
                    <a:prstGeom prst="rect">
                      <a:avLst/>
                    </a:prstGeom>
                  </pic:spPr>
                </pic:pic>
              </a:graphicData>
            </a:graphic>
          </wp:inline>
        </w:drawing>
      </w:r>
      <w:r>
        <w:rPr>
          <w:rFonts w:hint="eastAsia" w:ascii="微软雅黑" w:hAnsi="微软雅黑" w:eastAsia="微软雅黑" w:cs="微软雅黑"/>
          <w:b/>
          <w:bCs/>
          <w:sz w:val="40"/>
          <w:szCs w:val="40"/>
          <w:lang w:val="en-US" w:eastAsia="zh-CN"/>
        </w:rPr>
        <w:drawing>
          <wp:inline distT="0" distB="0" distL="114300" distR="114300">
            <wp:extent cx="6101080" cy="711835"/>
            <wp:effectExtent l="0" t="0" r="13970" b="12065"/>
            <wp:docPr id="19" name="图片 19" descr="QQ截图2023101311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231013113621"/>
                    <pic:cNvPicPr>
                      <a:picLocks noChangeAspect="1"/>
                    </pic:cNvPicPr>
                  </pic:nvPicPr>
                  <pic:blipFill>
                    <a:blip r:embed="rId13"/>
                    <a:stretch>
                      <a:fillRect/>
                    </a:stretch>
                  </pic:blipFill>
                  <pic:spPr>
                    <a:xfrm>
                      <a:off x="0" y="0"/>
                      <a:ext cx="6101080" cy="711835"/>
                    </a:xfrm>
                    <a:prstGeom prst="rect">
                      <a:avLst/>
                    </a:prstGeom>
                  </pic:spPr>
                </pic:pic>
              </a:graphicData>
            </a:graphic>
          </wp:inline>
        </w:drawing>
      </w:r>
      <w:r>
        <w:rPr>
          <w:rFonts w:hint="eastAsia" w:ascii="微软雅黑" w:hAnsi="微软雅黑" w:eastAsia="微软雅黑" w:cs="微软雅黑"/>
          <w:b/>
          <w:bCs/>
          <w:sz w:val="40"/>
          <w:szCs w:val="40"/>
          <w:lang w:val="en-US" w:eastAsia="zh-CN"/>
        </w:rPr>
        <w:drawing>
          <wp:inline distT="0" distB="0" distL="114300" distR="114300">
            <wp:extent cx="5457190" cy="349250"/>
            <wp:effectExtent l="0" t="0" r="10160" b="12700"/>
            <wp:docPr id="18" name="图片 18" descr="QQ截图202310131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31013113644"/>
                    <pic:cNvPicPr>
                      <a:picLocks noChangeAspect="1"/>
                    </pic:cNvPicPr>
                  </pic:nvPicPr>
                  <pic:blipFill>
                    <a:blip r:embed="rId14"/>
                    <a:stretch>
                      <a:fillRect/>
                    </a:stretch>
                  </pic:blipFill>
                  <pic:spPr>
                    <a:xfrm>
                      <a:off x="0" y="0"/>
                      <a:ext cx="5457190" cy="349250"/>
                    </a:xfrm>
                    <a:prstGeom prst="rect">
                      <a:avLst/>
                    </a:prstGeom>
                  </pic:spPr>
                </pic:pic>
              </a:graphicData>
            </a:graphic>
          </wp:inline>
        </w:drawing>
      </w:r>
    </w:p>
    <w:p>
      <w:pPr>
        <w:widowControl/>
        <w:numPr>
          <w:ilvl w:val="0"/>
          <w:numId w:val="0"/>
        </w:numPr>
        <w:shd w:val="clear" w:color="auto" w:fill="FFFFFF"/>
        <w:wordWrap w:val="0"/>
        <w:spacing w:line="432" w:lineRule="atLeast"/>
        <w:ind w:leftChars="0"/>
        <w:jc w:val="both"/>
        <w:rPr>
          <w:rFonts w:hint="eastAsia" w:ascii="微软雅黑" w:hAnsi="微软雅黑" w:eastAsia="微软雅黑" w:cs="微软雅黑"/>
          <w:b/>
          <w:bCs/>
          <w:sz w:val="40"/>
          <w:szCs w:val="40"/>
          <w:lang w:val="en-US" w:eastAsia="zh-CN"/>
        </w:rPr>
      </w:pPr>
    </w:p>
    <w:p>
      <w:pPr>
        <w:widowControl/>
        <w:numPr>
          <w:ilvl w:val="0"/>
          <w:numId w:val="0"/>
        </w:numPr>
        <w:shd w:val="clear" w:color="auto" w:fill="FFFFFF"/>
        <w:wordWrap w:val="0"/>
        <w:spacing w:line="432" w:lineRule="atLeast"/>
        <w:ind w:leftChars="0"/>
        <w:jc w:val="both"/>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同类展会</w:t>
      </w:r>
    </w:p>
    <w:p>
      <w:pPr>
        <w:widowControl/>
        <w:numPr>
          <w:ilvl w:val="0"/>
          <w:numId w:val="0"/>
        </w:numPr>
        <w:shd w:val="clear" w:color="auto" w:fill="FFFFFF"/>
        <w:wordWrap w:val="0"/>
        <w:spacing w:line="432" w:lineRule="atLeast"/>
        <w:ind w:leftChars="0"/>
        <w:jc w:val="both"/>
        <w:rPr>
          <w:rFonts w:hint="default" w:ascii="微软雅黑" w:hAnsi="微软雅黑" w:eastAsia="微软雅黑" w:cs="宋体"/>
          <w:color w:val="333333"/>
          <w:kern w:val="0"/>
          <w:szCs w:val="21"/>
          <w:lang w:val="en-US" w:eastAsia="zh-CN"/>
        </w:rPr>
      </w:pPr>
      <w:r>
        <w:rPr>
          <w:rFonts w:hint="default" w:ascii="微软雅黑" w:hAnsi="微软雅黑" w:eastAsia="微软雅黑" w:cs="宋体"/>
          <w:color w:val="333333"/>
          <w:kern w:val="0"/>
          <w:szCs w:val="21"/>
          <w:lang w:val="en-US" w:eastAsia="zh-CN"/>
        </w:rPr>
        <w:drawing>
          <wp:inline distT="0" distB="0" distL="114300" distR="114300">
            <wp:extent cx="6472555" cy="6597650"/>
            <wp:effectExtent l="0" t="0" r="4445" b="12700"/>
            <wp:docPr id="9" name="图片 9" descr="能源环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能源环保1"/>
                    <pic:cNvPicPr>
                      <a:picLocks noChangeAspect="1"/>
                    </pic:cNvPicPr>
                  </pic:nvPicPr>
                  <pic:blipFill>
                    <a:blip r:embed="rId15"/>
                    <a:stretch>
                      <a:fillRect/>
                    </a:stretch>
                  </pic:blipFill>
                  <pic:spPr>
                    <a:xfrm>
                      <a:off x="0" y="0"/>
                      <a:ext cx="6472555" cy="6597650"/>
                    </a:xfrm>
                    <a:prstGeom prst="rect">
                      <a:avLst/>
                    </a:prstGeom>
                  </pic:spPr>
                </pic:pic>
              </a:graphicData>
            </a:graphic>
          </wp:inline>
        </w:drawing>
      </w:r>
    </w:p>
    <w:p>
      <w:pPr>
        <w:widowControl/>
        <w:numPr>
          <w:ilvl w:val="0"/>
          <w:numId w:val="0"/>
        </w:numPr>
        <w:shd w:val="clear" w:color="auto" w:fill="FFFFFF"/>
        <w:wordWrap w:val="0"/>
        <w:spacing w:line="432" w:lineRule="atLeast"/>
        <w:ind w:leftChars="0"/>
        <w:jc w:val="center"/>
        <w:rPr>
          <w:rFonts w:hint="default" w:ascii="微软雅黑" w:hAnsi="微软雅黑" w:eastAsia="微软雅黑" w:cs="宋体"/>
          <w:color w:val="333333"/>
          <w:kern w:val="0"/>
          <w:szCs w:val="21"/>
          <w:lang w:val="en-US" w:eastAsia="zh-CN"/>
        </w:rPr>
      </w:pPr>
      <w:r>
        <w:rPr>
          <w:rFonts w:hint="default" w:ascii="微软雅黑" w:hAnsi="微软雅黑" w:eastAsia="微软雅黑" w:cs="宋体"/>
          <w:color w:val="333333"/>
          <w:kern w:val="0"/>
          <w:szCs w:val="21"/>
          <w:lang w:val="en-US" w:eastAsia="zh-CN"/>
        </w:rPr>
        <w:drawing>
          <wp:inline distT="0" distB="0" distL="114300" distR="114300">
            <wp:extent cx="6472555" cy="5920105"/>
            <wp:effectExtent l="0" t="0" r="4445" b="4445"/>
            <wp:docPr id="10" name="图片 10" descr="能源环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能源环保2"/>
                    <pic:cNvPicPr>
                      <a:picLocks noChangeAspect="1"/>
                    </pic:cNvPicPr>
                  </pic:nvPicPr>
                  <pic:blipFill>
                    <a:blip r:embed="rId16"/>
                    <a:stretch>
                      <a:fillRect/>
                    </a:stretch>
                  </pic:blipFill>
                  <pic:spPr>
                    <a:xfrm>
                      <a:off x="0" y="0"/>
                      <a:ext cx="6472555" cy="5920105"/>
                    </a:xfrm>
                    <a:prstGeom prst="rect">
                      <a:avLst/>
                    </a:prstGeom>
                  </pic:spPr>
                </pic:pic>
              </a:graphicData>
            </a:graphic>
          </wp:inline>
        </w:drawing>
      </w:r>
    </w:p>
    <w:p>
      <w:pPr>
        <w:widowControl/>
        <w:numPr>
          <w:ilvl w:val="0"/>
          <w:numId w:val="0"/>
        </w:numPr>
        <w:shd w:val="clear" w:color="auto" w:fill="FFFFFF"/>
        <w:wordWrap w:val="0"/>
        <w:spacing w:line="432" w:lineRule="atLeast"/>
        <w:ind w:leftChars="0"/>
        <w:jc w:val="center"/>
        <w:rPr>
          <w:rFonts w:hint="default" w:ascii="微软雅黑" w:hAnsi="微软雅黑" w:eastAsia="微软雅黑" w:cs="宋体"/>
          <w:color w:val="333333"/>
          <w:kern w:val="0"/>
          <w:szCs w:val="21"/>
          <w:lang w:val="en-US" w:eastAsia="zh-CN"/>
        </w:rPr>
      </w:pP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77A952"/>
    <w:multiLevelType w:val="singleLevel"/>
    <w:tmpl w:val="D177A95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21055BF"/>
    <w:rsid w:val="024E36D3"/>
    <w:rsid w:val="05036F0A"/>
    <w:rsid w:val="0AFD7E90"/>
    <w:rsid w:val="0B365CE9"/>
    <w:rsid w:val="0CCD15FF"/>
    <w:rsid w:val="0CE02843"/>
    <w:rsid w:val="0F2C7498"/>
    <w:rsid w:val="14077076"/>
    <w:rsid w:val="15921F24"/>
    <w:rsid w:val="1B190967"/>
    <w:rsid w:val="1D85341C"/>
    <w:rsid w:val="291A5005"/>
    <w:rsid w:val="2C5E2660"/>
    <w:rsid w:val="3A2F45BD"/>
    <w:rsid w:val="3E185E21"/>
    <w:rsid w:val="421F3775"/>
    <w:rsid w:val="442C5396"/>
    <w:rsid w:val="45340519"/>
    <w:rsid w:val="497F2993"/>
    <w:rsid w:val="4A2741B6"/>
    <w:rsid w:val="4A4A0377"/>
    <w:rsid w:val="4EA93C5F"/>
    <w:rsid w:val="4F307607"/>
    <w:rsid w:val="5252412C"/>
    <w:rsid w:val="5366011B"/>
    <w:rsid w:val="53CA6A5F"/>
    <w:rsid w:val="5C412695"/>
    <w:rsid w:val="5D2B0010"/>
    <w:rsid w:val="5D5F32BF"/>
    <w:rsid w:val="5E007B96"/>
    <w:rsid w:val="5E5121EA"/>
    <w:rsid w:val="5FF95743"/>
    <w:rsid w:val="60173EEF"/>
    <w:rsid w:val="6145156F"/>
    <w:rsid w:val="62806114"/>
    <w:rsid w:val="66B41704"/>
    <w:rsid w:val="683242A3"/>
    <w:rsid w:val="68FD0370"/>
    <w:rsid w:val="69464CE5"/>
    <w:rsid w:val="6FC32CD4"/>
    <w:rsid w:val="6FD967A8"/>
    <w:rsid w:val="703F2826"/>
    <w:rsid w:val="74C30200"/>
    <w:rsid w:val="7E7D4926"/>
    <w:rsid w:val="7E910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21"/>
      <w:szCs w:val="21"/>
      <w:lang w:val="en-US" w:eastAsia="en-US"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7">
    <w:name w:val="Table Normal"/>
    <w:semiHidden/>
    <w:unhideWhenUsed/>
    <w:qFormat/>
    <w:uiPriority w:val="0"/>
    <w:tblPr>
      <w:tblCellMar>
        <w:top w:w="0" w:type="dxa"/>
        <w:left w:w="0" w:type="dxa"/>
        <w:bottom w:w="0" w:type="dxa"/>
        <w:right w:w="0"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1271</Words>
  <Characters>1448</Characters>
  <Lines>0</Lines>
  <Paragraphs>0</Paragraphs>
  <TotalTime>1</TotalTime>
  <ScaleCrop>false</ScaleCrop>
  <LinksUpToDate>false</LinksUpToDate>
  <CharactersWithSpaces>1472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2024-05-09T07:22:58Z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D587F0D87A854DE6A7F81288F7E8A489_12</vt:lpwstr>
  </property>
</Properties>
</file>