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pPr>
        <w:pStyle w:val="2"/>
        <w:jc w:val="center"/>
      </w:pPr>
      <w:r>
        <w:rPr>
          <w:rFonts w:hint="eastAsia" w:ascii="微软雅黑" w:hAnsi="微软雅黑" w:eastAsia="微软雅黑" w:cs="微软雅黑"/>
          <w:b/>
          <w:bCs/>
          <w:spacing w:val="9"/>
          <w:kern w:val="0"/>
          <w:sz w:val="72"/>
          <w:szCs w:val="72"/>
          <w:fitText w:val="8640" w:id="1144747072"/>
          <w:lang w:val="en-US" w:eastAsia="zh-CN"/>
        </w:rPr>
        <w:t>2024年肯尼亚五大行业展</w:t>
      </w:r>
    </w:p>
    <w:p>
      <w:pPr>
        <w:jc w:val="center"/>
        <w:rPr>
          <w:rFonts w:hint="eastAsia" w:eastAsiaTheme="minorEastAsia"/>
          <w:lang w:eastAsia="zh-CN"/>
        </w:rPr>
      </w:pPr>
      <w:r>
        <w:rPr>
          <w:rFonts w:hint="eastAsia" w:eastAsiaTheme="minorEastAsia"/>
          <w:lang w:eastAsia="zh-CN"/>
        </w:rPr>
        <w:drawing>
          <wp:inline distT="0" distB="0" distL="114300" distR="114300">
            <wp:extent cx="1695450" cy="638175"/>
            <wp:effectExtent l="0" t="0" r="0" b="9525"/>
            <wp:docPr id="2" name="图片 2" descr="肯尼亚五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肯尼亚五大"/>
                    <pic:cNvPicPr>
                      <a:picLocks noChangeAspect="1"/>
                    </pic:cNvPicPr>
                  </pic:nvPicPr>
                  <pic:blipFill>
                    <a:blip r:embed="rId5"/>
                    <a:stretch>
                      <a:fillRect/>
                    </a:stretch>
                  </pic:blipFill>
                  <pic:spPr>
                    <a:xfrm>
                      <a:off x="0" y="0"/>
                      <a:ext cx="1695450" cy="638175"/>
                    </a:xfrm>
                    <a:prstGeom prst="rect">
                      <a:avLst/>
                    </a:prstGeom>
                  </pic:spPr>
                </pic:pic>
              </a:graphicData>
            </a:graphic>
          </wp:inline>
        </w:drawing>
      </w:r>
    </w:p>
    <w:p>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pPr>
        <w:pStyle w:val="3"/>
        <w:spacing w:before="159" w:line="187" w:lineRule="auto"/>
        <w:ind w:left="169"/>
        <w:jc w:val="left"/>
        <w:rPr>
          <w:b/>
          <w:bCs/>
          <w:color w:val="050E17"/>
          <w:spacing w:val="9"/>
          <w:sz w:val="28"/>
          <w:szCs w:val="28"/>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2024年</w:t>
      </w:r>
      <w:r>
        <w:rPr>
          <w:rFonts w:hint="eastAsia"/>
          <w:b/>
          <w:bCs/>
          <w:color w:val="050E17"/>
          <w:spacing w:val="9"/>
          <w:sz w:val="28"/>
          <w:szCs w:val="28"/>
          <w:lang w:val="en-US" w:eastAsia="zh-CN"/>
        </w:rPr>
        <w:t xml:space="preserve">11月06-08日     </w:t>
      </w:r>
      <w:r>
        <w:rPr>
          <w:b/>
          <w:bCs/>
          <w:color w:val="050E17"/>
          <w:spacing w:val="9"/>
          <w:sz w:val="28"/>
          <w:szCs w:val="28"/>
        </w:rPr>
        <w:t>展会地点</w:t>
      </w:r>
      <w:r>
        <w:rPr>
          <w:rFonts w:hint="eastAsia"/>
          <w:b/>
          <w:bCs/>
          <w:color w:val="050E17"/>
          <w:spacing w:val="9"/>
          <w:sz w:val="28"/>
          <w:szCs w:val="28"/>
          <w:lang w:eastAsia="zh-CN"/>
        </w:rPr>
        <w:t>：</w:t>
      </w:r>
      <w:r>
        <w:rPr>
          <w:rFonts w:ascii="微软雅黑" w:hAnsi="微软雅黑" w:eastAsia="微软雅黑" w:cs="Arial"/>
          <w:b/>
          <w:sz w:val="28"/>
          <w:szCs w:val="28"/>
          <w:shd w:val="clear" w:color="auto" w:fill="FFFFFF"/>
        </w:rPr>
        <w:t>内罗毕萨里特展览中心</w:t>
      </w:r>
    </w:p>
    <w:p>
      <w:pPr>
        <w:pStyle w:val="3"/>
        <w:spacing w:before="159" w:line="187" w:lineRule="auto"/>
        <w:ind w:left="169"/>
        <w:jc w:val="left"/>
        <w:rPr>
          <w:rFonts w:hint="default"/>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b/>
          <w:bCs/>
          <w:color w:val="050E17"/>
          <w:spacing w:val="9"/>
          <w:sz w:val="28"/>
          <w:szCs w:val="28"/>
        </w:rPr>
        <w:t>DMG</w:t>
      </w:r>
      <w:r>
        <w:rPr>
          <w:rFonts w:hint="eastAsia"/>
          <w:b/>
          <w:bCs/>
          <w:color w:val="050E17"/>
          <w:spacing w:val="9"/>
          <w:sz w:val="28"/>
          <w:szCs w:val="28"/>
          <w:lang w:val="en-US" w:eastAsia="zh-CN"/>
        </w:rPr>
        <w:t xml:space="preserve">                    展会类型：建筑建材</w:t>
      </w:r>
    </w:p>
    <w:p>
      <w:pPr>
        <w:pStyle w:val="3"/>
        <w:spacing w:before="96" w:line="188" w:lineRule="auto"/>
        <w:jc w:val="left"/>
        <w:rPr>
          <w:rFonts w:hint="eastAsia"/>
          <w:b/>
          <w:bCs/>
          <w:color w:val="auto"/>
          <w:spacing w:val="5"/>
          <w:sz w:val="24"/>
          <w:szCs w:val="24"/>
          <w:lang w:val="en-US" w:eastAsia="zh-CN"/>
        </w:rPr>
      </w:pPr>
      <w:r>
        <w:rPr>
          <w:position w:val="-61"/>
        </w:rPr>
        <w:drawing>
          <wp:anchor distT="0" distB="0" distL="0" distR="0" simplePos="0" relativeHeight="251659264" behindDoc="0" locked="0" layoutInCell="1" allowOverlap="1">
            <wp:simplePos x="0" y="0"/>
            <wp:positionH relativeFrom="column">
              <wp:posOffset>35560</wp:posOffset>
            </wp:positionH>
            <wp:positionV relativeFrom="paragraph">
              <wp:posOffset>144145</wp:posOffset>
            </wp:positionV>
            <wp:extent cx="6416675" cy="2728595"/>
            <wp:effectExtent l="0" t="0" r="3175" b="14605"/>
            <wp:wrapTopAndBottom/>
            <wp:docPr id="6" name="IM 6" descr="E:/李姗/MIE/招展资料—改后/2024.11-12/11. 肯尼亚五大行业展 big5/DSC_9313-Copy.jpgDSC_9313-Copy"/>
            <wp:cNvGraphicFramePr/>
            <a:graphic xmlns:a="http://schemas.openxmlformats.org/drawingml/2006/main">
              <a:graphicData uri="http://schemas.openxmlformats.org/drawingml/2006/picture">
                <pic:pic xmlns:pic="http://schemas.openxmlformats.org/drawingml/2006/picture">
                  <pic:nvPicPr>
                    <pic:cNvPr id="6" name="IM 6" descr="E:/李姗/MIE/招展资料—改后/2024.11-12/11. 肯尼亚五大行业展 big5/DSC_9313-Copy.jpgDSC_9313-Copy"/>
                    <pic:cNvPicPr/>
                  </pic:nvPicPr>
                  <pic:blipFill>
                    <a:blip r:embed="rId6"/>
                    <a:srcRect t="17907" b="17907"/>
                    <a:stretch>
                      <a:fillRect/>
                    </a:stretch>
                  </pic:blipFill>
                  <pic:spPr>
                    <a:xfrm>
                      <a:off x="0" y="0"/>
                      <a:ext cx="6416675" cy="272859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肯尼亚五大行业展览会（Big 5 Construct Kenya）由主办方DMG EVENTS展览公司主办，是全球三大建材展big5系列展之一。自2016年首届举办以来，每年一届。</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上届展会总面积25000平方米，参展企业来自中国、南非、迪拜、美国、塞尔维亚、土耳其、伊朗等，参展人数达</w:t>
      </w:r>
      <w:r>
        <w:rPr>
          <w:rFonts w:hint="eastAsia" w:ascii="微软雅黑" w:hAnsi="微软雅黑" w:eastAsia="微软雅黑"/>
          <w:sz w:val="28"/>
          <w:szCs w:val="28"/>
          <w:lang w:val="en-US" w:eastAsia="zh-CN"/>
        </w:rPr>
        <w:t>8000</w:t>
      </w:r>
      <w:r>
        <w:rPr>
          <w:rFonts w:hint="eastAsia" w:ascii="微软雅黑" w:hAnsi="微软雅黑" w:eastAsia="微软雅黑"/>
          <w:sz w:val="28"/>
          <w:szCs w:val="28"/>
        </w:rPr>
        <w:t>人。参展观众分别为建筑供应商、房地产开发商、建筑师、承包商、工程师、咨询师、制造商和分销商等等。</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lang w:val="en-US" w:eastAsia="zh-CN"/>
        </w:rPr>
        <w:t>2024</w:t>
      </w:r>
      <w:r>
        <w:rPr>
          <w:rFonts w:hint="eastAsia" w:ascii="微软雅黑" w:hAnsi="微软雅黑" w:eastAsia="微软雅黑"/>
          <w:sz w:val="28"/>
          <w:szCs w:val="28"/>
        </w:rPr>
        <w:t>肯尼亚五大行业展将于2024年11月</w:t>
      </w:r>
      <w:r>
        <w:rPr>
          <w:rFonts w:hint="eastAsia" w:ascii="微软雅黑" w:hAnsi="微软雅黑" w:eastAsia="微软雅黑"/>
          <w:sz w:val="28"/>
          <w:szCs w:val="28"/>
          <w:lang w:val="en-US" w:eastAsia="zh-CN"/>
        </w:rPr>
        <w:t>06-08日</w:t>
      </w:r>
      <w:r>
        <w:rPr>
          <w:rFonts w:hint="eastAsia" w:ascii="微软雅黑" w:hAnsi="微软雅黑" w:eastAsia="微软雅黑"/>
          <w:sz w:val="28"/>
          <w:szCs w:val="28"/>
        </w:rPr>
        <w:t>在肯尼亚内罗毕萨里特展览中心举办，将吸引来自超过</w:t>
      </w:r>
      <w:r>
        <w:rPr>
          <w:rFonts w:hint="eastAsia" w:ascii="微软雅黑" w:hAnsi="微软雅黑" w:eastAsia="微软雅黑"/>
          <w:sz w:val="28"/>
          <w:szCs w:val="28"/>
          <w:lang w:val="en-US" w:eastAsia="zh-CN"/>
        </w:rPr>
        <w:t>20</w:t>
      </w:r>
      <w:r>
        <w:rPr>
          <w:rFonts w:hint="eastAsia" w:ascii="微软雅黑" w:hAnsi="微软雅黑" w:eastAsia="微软雅黑"/>
          <w:sz w:val="28"/>
          <w:szCs w:val="28"/>
        </w:rPr>
        <w:t>个国家的</w:t>
      </w:r>
      <w:r>
        <w:rPr>
          <w:rFonts w:hint="eastAsia" w:ascii="微软雅黑" w:hAnsi="微软雅黑" w:eastAsia="微软雅黑"/>
          <w:sz w:val="28"/>
          <w:szCs w:val="28"/>
          <w:lang w:val="en-US" w:eastAsia="zh-CN"/>
        </w:rPr>
        <w:t>500</w:t>
      </w:r>
      <w:r>
        <w:rPr>
          <w:rFonts w:hint="eastAsia" w:ascii="微软雅黑" w:hAnsi="微软雅黑" w:eastAsia="微软雅黑"/>
          <w:sz w:val="28"/>
          <w:szCs w:val="28"/>
        </w:rPr>
        <w:t>余家展商参展，将吸引</w:t>
      </w:r>
      <w:r>
        <w:rPr>
          <w:rFonts w:hint="eastAsia" w:ascii="微软雅黑" w:hAnsi="微软雅黑" w:eastAsia="微软雅黑"/>
          <w:sz w:val="28"/>
          <w:szCs w:val="28"/>
          <w:lang w:val="en-US" w:eastAsia="zh-CN"/>
        </w:rPr>
        <w:t>36</w:t>
      </w:r>
      <w:r>
        <w:rPr>
          <w:rFonts w:hint="eastAsia" w:ascii="微软雅黑" w:hAnsi="微软雅黑" w:eastAsia="微软雅黑"/>
          <w:sz w:val="28"/>
          <w:szCs w:val="28"/>
        </w:rPr>
        <w:t>，000余名观众参观。</w:t>
      </w:r>
      <w:r>
        <w:rPr>
          <w:rFonts w:hint="eastAsia" w:ascii="微软雅黑" w:hAnsi="微软雅黑" w:eastAsia="微软雅黑"/>
          <w:sz w:val="28"/>
          <w:szCs w:val="28"/>
          <w:lang w:val="en-US" w:eastAsia="zh-CN"/>
        </w:rPr>
        <w:t>肯尼亚</w:t>
      </w:r>
      <w:r>
        <w:rPr>
          <w:rFonts w:hint="eastAsia" w:ascii="微软雅黑" w:hAnsi="微软雅黑" w:eastAsia="微软雅黑"/>
          <w:sz w:val="28"/>
          <w:szCs w:val="28"/>
        </w:rPr>
        <w:t>五大行业展览会</w:t>
      </w:r>
      <w:r>
        <w:rPr>
          <w:rFonts w:hint="eastAsia" w:ascii="微软雅黑" w:hAnsi="微软雅黑" w:eastAsia="微软雅黑"/>
          <w:sz w:val="28"/>
          <w:szCs w:val="28"/>
          <w:lang w:val="en-US" w:eastAsia="zh-CN"/>
        </w:rPr>
        <w:t>将</w:t>
      </w:r>
      <w:r>
        <w:rPr>
          <w:rFonts w:hint="eastAsia" w:ascii="微软雅黑" w:hAnsi="微软雅黑" w:eastAsia="微软雅黑"/>
          <w:sz w:val="28"/>
          <w:szCs w:val="28"/>
        </w:rPr>
        <w:t xml:space="preserve">来自建筑行业的专业人士，是建筑建材企业进军卡塔尔的绝佳平台 ! </w:t>
      </w:r>
    </w:p>
    <w:tbl>
      <w:tblPr>
        <w:tblStyle w:val="7"/>
        <w:tblpPr w:leftFromText="180" w:rightFromText="180" w:vertAnchor="text" w:horzAnchor="page" w:tblpXSpec="center" w:tblpY="234"/>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pPr>
              <w:spacing w:before="227" w:line="214" w:lineRule="auto"/>
              <w:ind w:left="826"/>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500</w:t>
            </w:r>
            <w:r>
              <w:rPr>
                <w:rFonts w:ascii="微软雅黑" w:hAnsi="微软雅黑" w:eastAsia="微软雅黑" w:cs="微软雅黑"/>
                <w:spacing w:val="-8"/>
                <w:sz w:val="28"/>
                <w:szCs w:val="28"/>
              </w:rPr>
              <w:t>+</w:t>
            </w:r>
          </w:p>
        </w:tc>
        <w:tc>
          <w:tcPr>
            <w:tcW w:w="2432"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36</w:t>
            </w:r>
            <w:r>
              <w:rPr>
                <w:rFonts w:ascii="微软雅黑" w:hAnsi="微软雅黑" w:eastAsia="微软雅黑" w:cs="微软雅黑"/>
                <w:spacing w:val="-3"/>
                <w:sz w:val="28"/>
                <w:szCs w:val="28"/>
              </w:rPr>
              <w:t>,000+</w:t>
            </w:r>
          </w:p>
        </w:tc>
        <w:tc>
          <w:tcPr>
            <w:tcW w:w="2419" w:type="dxa"/>
            <w:vAlign w:val="top"/>
          </w:tcPr>
          <w:p>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100</w:t>
            </w:r>
            <w:r>
              <w:rPr>
                <w:rFonts w:ascii="微软雅黑" w:hAnsi="微软雅黑" w:eastAsia="微软雅黑" w:cs="微软雅黑"/>
                <w:color w:val="auto"/>
                <w:spacing w:val="-10"/>
                <w:sz w:val="28"/>
                <w:szCs w:val="28"/>
              </w:rPr>
              <w:t>+</w:t>
            </w:r>
          </w:p>
        </w:tc>
        <w:tc>
          <w:tcPr>
            <w:tcW w:w="2426" w:type="dxa"/>
            <w:vAlign w:val="top"/>
          </w:tcPr>
          <w:p>
            <w:pPr>
              <w:spacing w:before="225" w:line="197" w:lineRule="auto"/>
              <w:ind w:left="587"/>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31</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18"/>
          <w:szCs w:val="18"/>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position w:val="-71"/>
        </w:rPr>
        <w:drawing>
          <wp:inline distT="0" distB="0" distL="0" distR="0">
            <wp:extent cx="6415405" cy="2728595"/>
            <wp:effectExtent l="0" t="0" r="4445" b="14605"/>
            <wp:docPr id="8" name="IM 8" descr="E:/李姗/MIE/招展资料—改后/2024.11-12/11. 肯尼亚五大行业展 big5/Busy-isle-scaled.jpgBusy-isle-scaled"/>
            <wp:cNvGraphicFramePr/>
            <a:graphic xmlns:a="http://schemas.openxmlformats.org/drawingml/2006/main">
              <a:graphicData uri="http://schemas.openxmlformats.org/drawingml/2006/picture">
                <pic:pic xmlns:pic="http://schemas.openxmlformats.org/drawingml/2006/picture">
                  <pic:nvPicPr>
                    <pic:cNvPr id="8" name="IM 8" descr="E:/李姗/MIE/招展资料—改后/2024.11-12/11. 肯尼亚五大行业展 big5/Busy-isle-scaled.jpgBusy-isle-scaled"/>
                    <pic:cNvPicPr/>
                  </pic:nvPicPr>
                  <pic:blipFill>
                    <a:blip r:embed="rId7"/>
                    <a:srcRect t="17906" b="17906"/>
                    <a:stretch>
                      <a:fillRect/>
                    </a:stretch>
                  </pic:blipFill>
                  <pic:spPr>
                    <a:xfrm>
                      <a:off x="0" y="0"/>
                      <a:ext cx="6415405" cy="2728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宋体"/>
          <w:kern w:val="0"/>
          <w:sz w:val="11"/>
          <w:szCs w:val="11"/>
        </w:rPr>
      </w:pP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eastAsia" w:ascii="微软雅黑" w:hAnsi="微软雅黑" w:eastAsia="微软雅黑" w:cs="宋体"/>
          <w:kern w:val="0"/>
          <w:sz w:val="28"/>
          <w:szCs w:val="28"/>
        </w:rPr>
      </w:pPr>
      <w:r>
        <w:rPr>
          <w:rFonts w:hint="eastAsia" w:ascii="微软雅黑" w:hAnsi="微软雅黑" w:eastAsia="微软雅黑" w:cs="宋体"/>
          <w:kern w:val="0"/>
          <w:sz w:val="28"/>
          <w:szCs w:val="28"/>
        </w:rPr>
        <w:t>肯政府推动2030远景规划（Vision 2030），将能源、基础设施和建筑业、农业、制造业、采矿业、旅游业、批发和零售业、金融服务业和信息产业等列为重点发展领域。期望2030年前加入新兴工业化及中等收入回家。肯尼亚受益于基础设施，包括房屋和建筑的每年超过8.0%的快速发展，肯尼亚市场发展迅速，并接近市场成熟阶段。在过去的三年中，肯尼亚住房增加了12%，而建筑维修在同一时间增长了6%。肯尼亚蒙巴萨建筑行业的蓬勃发展将带动当地办公楼和购物中心的发展，从而增加对于装饰的需求。此外，每年4.4%的城镇人口增长率，以及与日俱增的向城镇迁移的农村人口将带动民用和商用建筑的发展。</w:t>
      </w: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eastAsia" w:ascii="微软雅黑" w:hAnsi="微软雅黑" w:eastAsia="微软雅黑" w:cs="宋体"/>
          <w:kern w:val="0"/>
          <w:sz w:val="28"/>
          <w:szCs w:val="28"/>
        </w:rPr>
      </w:pPr>
      <w:r>
        <w:rPr>
          <w:rFonts w:hint="eastAsia" w:ascii="微软雅黑" w:hAnsi="微软雅黑" w:eastAsia="微软雅黑" w:cs="宋体"/>
          <w:kern w:val="0"/>
          <w:sz w:val="28"/>
          <w:szCs w:val="28"/>
        </w:rPr>
        <w:t>肯尼亚的建筑建材市场在2021年达到了166亿美元的规模，并且预计在2023年到2026年之间的年均增长率将超过5%。</w:t>
      </w: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eastAsia" w:ascii="微软雅黑" w:hAnsi="微软雅黑" w:eastAsia="微软雅黑" w:cs="宋体"/>
          <w:kern w:val="0"/>
          <w:sz w:val="28"/>
          <w:szCs w:val="28"/>
        </w:rPr>
      </w:pPr>
      <w:r>
        <w:rPr>
          <w:rFonts w:hint="eastAsia" w:ascii="微软雅黑" w:hAnsi="微软雅黑" w:eastAsia="微软雅黑" w:cs="宋体"/>
          <w:kern w:val="0"/>
          <w:sz w:val="28"/>
          <w:szCs w:val="28"/>
        </w:rPr>
        <w:t>2017年7月由G20发布的《全球基础设施展望报告》称，为实现联合国可持续发展目标（SDGs），至2040年，肯尼亚需2060亿美元以进行基础设施建设，比目前投资水平高出41%；至2030年，需310亿美元以实现全民用水用电目标。此外，报告预测，未来两年肯人口将增加3500万人，经济增长率保持在5.5%。</w:t>
      </w: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eastAsia" w:ascii="微软雅黑" w:hAnsi="微软雅黑" w:eastAsia="微软雅黑" w:cs="宋体"/>
          <w:kern w:val="0"/>
          <w:sz w:val="28"/>
          <w:szCs w:val="28"/>
        </w:rPr>
      </w:pPr>
      <w:r>
        <w:rPr>
          <w:rFonts w:hint="eastAsia" w:ascii="微软雅黑" w:hAnsi="微软雅黑" w:eastAsia="微软雅黑" w:cs="宋体"/>
          <w:kern w:val="0"/>
          <w:sz w:val="28"/>
          <w:szCs w:val="28"/>
        </w:rPr>
        <w:t>城镇化发展和中产阶级人群持续扩大提高肯尼亚消费需求，肯尼亚民众也渐趋青睐购物中心等消费场所，高涨的需求促使肯尼亚境内外投资者将大型商场的建设作为重点开发领域。</w:t>
      </w: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eastAsia" w:ascii="微软雅黑" w:hAnsi="微软雅黑" w:eastAsia="微软雅黑" w:cs="宋体"/>
          <w:kern w:val="0"/>
          <w:sz w:val="28"/>
          <w:szCs w:val="28"/>
        </w:rPr>
      </w:pPr>
      <w:r>
        <w:rPr>
          <w:rFonts w:hint="eastAsia" w:ascii="微软雅黑" w:hAnsi="微软雅黑" w:eastAsia="微软雅黑" w:cs="宋体"/>
          <w:kern w:val="0"/>
          <w:sz w:val="28"/>
          <w:szCs w:val="28"/>
        </w:rPr>
        <w:t>肯尼亚建筑业主要由运输和建筑/住房这两个主要的基础设施部门驱动。根据肯尼亚2016年经济调查报告显示，在2015-2025年期间，肯尼亚建筑业预计年均增长率为7.3%，这为肯尼亚建筑机械设备市场的繁荣奠定了一种积极的基调。</w:t>
      </w: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default" w:ascii="微软雅黑" w:hAnsi="微软雅黑" w:eastAsia="微软雅黑" w:cs="宋体"/>
          <w:kern w:val="0"/>
          <w:sz w:val="28"/>
          <w:szCs w:val="28"/>
        </w:rPr>
      </w:pPr>
      <w:r>
        <w:rPr>
          <w:rFonts w:hint="default" w:ascii="微软雅黑" w:hAnsi="微软雅黑" w:eastAsia="微软雅黑" w:cs="宋体"/>
          <w:kern w:val="0"/>
          <w:sz w:val="28"/>
          <w:szCs w:val="28"/>
        </w:rPr>
        <w:t>肯尼亚建材市场上的供应商多样化，其中中国的建筑材料占据了很大的市场份额数据显示，</w:t>
      </w:r>
      <w:r>
        <w:rPr>
          <w:rFonts w:hint="eastAsia" w:ascii="微软雅黑" w:hAnsi="微软雅黑" w:eastAsia="微软雅黑" w:cs="宋体"/>
          <w:kern w:val="0"/>
          <w:sz w:val="28"/>
          <w:szCs w:val="28"/>
          <w:lang w:val="en-US" w:eastAsia="zh-CN"/>
        </w:rPr>
        <w:t>中国</w:t>
      </w:r>
      <w:r>
        <w:rPr>
          <w:rFonts w:hint="default" w:ascii="微软雅黑" w:hAnsi="微软雅黑" w:eastAsia="微软雅黑" w:cs="宋体"/>
          <w:kern w:val="0"/>
          <w:sz w:val="28"/>
          <w:szCs w:val="28"/>
        </w:rPr>
        <w:t>供应商</w:t>
      </w:r>
      <w:r>
        <w:rPr>
          <w:rFonts w:hint="eastAsia" w:ascii="微软雅黑" w:hAnsi="微软雅黑" w:eastAsia="微软雅黑" w:cs="宋体"/>
          <w:kern w:val="0"/>
          <w:sz w:val="28"/>
          <w:szCs w:val="28"/>
          <w:lang w:val="en-US" w:eastAsia="zh-CN"/>
        </w:rPr>
        <w:t>也</w:t>
      </w:r>
      <w:r>
        <w:rPr>
          <w:rFonts w:hint="default" w:ascii="微软雅黑" w:hAnsi="微软雅黑" w:eastAsia="微软雅黑" w:cs="宋体"/>
          <w:kern w:val="0"/>
          <w:sz w:val="28"/>
          <w:szCs w:val="28"/>
        </w:rPr>
        <w:t>提供了各种类型的建材，如水泥、沙子、石子、木材、瓷砖、玻璃等，丰富了市场的选择。肯尼亚的建材市场正在逐步实现现代化，</w:t>
      </w:r>
      <w:r>
        <w:rPr>
          <w:rFonts w:hint="eastAsia" w:ascii="微软雅黑" w:hAnsi="微软雅黑" w:eastAsia="微软雅黑" w:cs="宋体"/>
          <w:kern w:val="0"/>
          <w:sz w:val="28"/>
          <w:szCs w:val="28"/>
          <w:lang w:val="en-US" w:eastAsia="zh-CN"/>
        </w:rPr>
        <w:t>已经</w:t>
      </w:r>
      <w:r>
        <w:rPr>
          <w:rFonts w:hint="default" w:ascii="微软雅黑" w:hAnsi="微软雅黑" w:eastAsia="微软雅黑" w:cs="宋体"/>
          <w:kern w:val="0"/>
          <w:sz w:val="28"/>
          <w:szCs w:val="28"/>
        </w:rPr>
        <w:t>建立了专业的建材市场和展销中心，如内罗毕的卡伦大商场和基苏木的马赛市场。这些现代化的建材市场提供了更好的展示和交易平台，有利于市场的健康发展。</w:t>
      </w:r>
    </w:p>
    <w:p>
      <w:pPr>
        <w:keepNext w:val="0"/>
        <w:keepLines w:val="0"/>
        <w:pageBreakBefore w:val="0"/>
        <w:widowControl w:val="0"/>
        <w:shd w:val="clear" w:color="auto" w:fill="FFFFFF"/>
        <w:kinsoku/>
        <w:wordWrap w:val="0"/>
        <w:overflowPunct/>
        <w:topLinePunct w:val="0"/>
        <w:autoSpaceDE/>
        <w:autoSpaceDN/>
        <w:bidi w:val="0"/>
        <w:adjustRightInd/>
        <w:snapToGrid w:val="0"/>
        <w:spacing w:line="360" w:lineRule="auto"/>
        <w:ind w:firstLine="560" w:firstLineChars="200"/>
        <w:textAlignment w:val="auto"/>
        <w:rPr>
          <w:rFonts w:hint="eastAsia" w:ascii="微软雅黑" w:hAnsi="微软雅黑" w:eastAsia="微软雅黑" w:cs="宋体"/>
          <w:kern w:val="0"/>
          <w:sz w:val="28"/>
          <w:szCs w:val="28"/>
          <w:lang w:val="en-US" w:eastAsia="zh-CN"/>
        </w:rPr>
      </w:pPr>
      <w:r>
        <w:rPr>
          <w:rFonts w:hint="default" w:ascii="微软雅黑" w:hAnsi="微软雅黑" w:eastAsia="微软雅黑" w:cs="宋体"/>
          <w:kern w:val="0"/>
          <w:sz w:val="28"/>
          <w:szCs w:val="28"/>
        </w:rPr>
        <w:t>总之，肯尼亚建材市场正在快速发展，得益于政策支持、城市化进程加速以及多样化的供应商等因素。同时，现代化的建材市场和技术创新</w:t>
      </w:r>
      <w:r>
        <w:rPr>
          <w:rFonts w:hint="eastAsia" w:ascii="微软雅黑" w:hAnsi="微软雅黑" w:eastAsia="微软雅黑" w:cs="宋体"/>
          <w:kern w:val="0"/>
          <w:sz w:val="28"/>
          <w:szCs w:val="28"/>
          <w:lang w:eastAsia="zh-CN"/>
        </w:rPr>
        <w:t>，</w:t>
      </w:r>
      <w:r>
        <w:rPr>
          <w:rFonts w:hint="default" w:ascii="微软雅黑" w:hAnsi="微软雅黑" w:eastAsia="微软雅黑" w:cs="宋体"/>
          <w:kern w:val="0"/>
          <w:sz w:val="28"/>
          <w:szCs w:val="28"/>
        </w:rPr>
        <w:t>也为</w:t>
      </w:r>
      <w:r>
        <w:rPr>
          <w:rFonts w:hint="eastAsia" w:ascii="微软雅黑" w:hAnsi="微软雅黑" w:eastAsia="微软雅黑" w:cs="宋体"/>
          <w:kern w:val="0"/>
          <w:sz w:val="28"/>
          <w:szCs w:val="28"/>
          <w:lang w:val="en-US" w:eastAsia="zh-CN"/>
        </w:rPr>
        <w:t>中国企业进入肯尼亚建材市场</w:t>
      </w:r>
      <w:r>
        <w:rPr>
          <w:rFonts w:hint="default" w:ascii="微软雅黑" w:hAnsi="微软雅黑" w:eastAsia="微软雅黑" w:cs="宋体"/>
          <w:kern w:val="0"/>
          <w:sz w:val="28"/>
          <w:szCs w:val="28"/>
        </w:rPr>
        <w:t>提供了更好的发展平台和机遇。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招展范围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415405" cy="2728595"/>
            <wp:effectExtent l="0" t="0" r="4445" b="14605"/>
            <wp:docPr id="5" name="图片 5" descr="E:/李姗/MIE/招展资料—改后/2024.11-12/11. 肯尼亚五大行业展 big5/WhatsApp-Image-2022-11-10-at-1.45.36-PM.jpgWhatsApp-Image-2022-11-10-at-1.45.36-PM"/>
            <wp:cNvGraphicFramePr/>
            <a:graphic xmlns:a="http://schemas.openxmlformats.org/drawingml/2006/main">
              <a:graphicData uri="http://schemas.openxmlformats.org/drawingml/2006/picture">
                <pic:pic xmlns:pic="http://schemas.openxmlformats.org/drawingml/2006/picture">
                  <pic:nvPicPr>
                    <pic:cNvPr id="5" name="图片 5" descr="E:/李姗/MIE/招展资料—改后/2024.11-12/11. 肯尼亚五大行业展 big5/WhatsApp-Image-2022-11-10-at-1.45.36-PM.jpgWhatsApp-Image-2022-11-10-at-1.45.36-PM"/>
                    <pic:cNvPicPr/>
                  </pic:nvPicPr>
                  <pic:blipFill>
                    <a:blip r:embed="rId8"/>
                    <a:srcRect t="17861" b="17861"/>
                    <a:stretch>
                      <a:fillRect/>
                    </a:stretch>
                  </pic:blipFill>
                  <pic:spPr>
                    <a:xfrm>
                      <a:off x="0" y="0"/>
                      <a:ext cx="6415405" cy="2728595"/>
                    </a:xfrm>
                    <a:prstGeom prst="rect">
                      <a:avLst/>
                    </a:prstGeom>
                  </pic:spPr>
                </pic:pic>
              </a:graphicData>
            </a:graphic>
          </wp:inline>
        </w:drawing>
      </w:r>
    </w:p>
    <w:p>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建筑及装饰材料：</w:t>
      </w:r>
      <w:r>
        <w:rPr>
          <w:rFonts w:hint="eastAsia" w:ascii="微软雅黑" w:hAnsi="微软雅黑" w:eastAsia="微软雅黑"/>
          <w:sz w:val="28"/>
          <w:szCs w:val="28"/>
        </w:rPr>
        <w:t>卫浴洁具、门窗及配件、门窗机电及门控系统、橱柜、厨卫设施、石材、建筑陶瓷、石膏制品、天花吊顶、塑料建材等；</w:t>
      </w:r>
    </w:p>
    <w:p>
      <w:pPr>
        <w:widowControl/>
        <w:numPr>
          <w:ilvl w:val="0"/>
          <w:numId w:val="1"/>
        </w:numPr>
        <w:shd w:val="clear" w:color="auto" w:fill="FFFFFF"/>
        <w:wordWrap w:val="0"/>
        <w:spacing w:line="432" w:lineRule="atLeast"/>
        <w:ind w:left="420" w:leftChars="0" w:hanging="420" w:firstLineChars="0"/>
        <w:jc w:val="left"/>
        <w:rPr>
          <w:rFonts w:hint="eastAsia" w:ascii="微软雅黑" w:hAnsi="微软雅黑" w:eastAsia="微软雅黑"/>
          <w:sz w:val="28"/>
          <w:szCs w:val="28"/>
        </w:rPr>
      </w:pPr>
      <w:r>
        <w:rPr>
          <w:rFonts w:hint="eastAsia" w:ascii="微软雅黑" w:hAnsi="微软雅黑" w:eastAsia="微软雅黑"/>
          <w:b/>
          <w:bCs/>
          <w:sz w:val="28"/>
          <w:szCs w:val="28"/>
        </w:rPr>
        <w:t>建筑五金：</w:t>
      </w:r>
      <w:r>
        <w:rPr>
          <w:rFonts w:hint="eastAsia" w:ascii="微软雅黑" w:hAnsi="微软雅黑" w:eastAsia="微软雅黑"/>
          <w:sz w:val="28"/>
          <w:szCs w:val="28"/>
        </w:rPr>
        <w:t>钢材、铝材、不锈钢、金属板材、龙骨、丝网、护栏围栏、钢结构、脚手架、建筑五金配件、五金工具等；</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432" w:lineRule="atLeast"/>
        <w:ind w:left="420" w:leftChars="0" w:hanging="420" w:firstLineChars="0"/>
        <w:jc w:val="left"/>
        <w:textAlignment w:val="auto"/>
        <w:rPr>
          <w:rFonts w:hint="eastAsia" w:ascii="微软雅黑" w:hAnsi="微软雅黑" w:eastAsia="微软雅黑"/>
          <w:sz w:val="28"/>
          <w:szCs w:val="28"/>
        </w:rPr>
      </w:pPr>
      <w:r>
        <w:rPr>
          <w:rFonts w:hint="eastAsia" w:ascii="微软雅黑" w:hAnsi="微软雅黑" w:eastAsia="微软雅黑"/>
          <w:b/>
          <w:bCs/>
          <w:sz w:val="28"/>
          <w:szCs w:val="28"/>
        </w:rPr>
        <w:t>木材及木制品、板材：</w:t>
      </w:r>
      <w:r>
        <w:rPr>
          <w:rFonts w:hint="eastAsia" w:ascii="微软雅黑" w:hAnsi="微软雅黑" w:eastAsia="微软雅黑"/>
          <w:sz w:val="28"/>
          <w:szCs w:val="28"/>
        </w:rPr>
        <w:t>木材、木制品、竹制品、人造板材、建筑木模板；实木地板、复合地板、强化地板、防静电地板；复合木材、木塑材料、防火板、三聚氰胺板、PVC复合材料、树脂板、装饰纸等；</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432" w:lineRule="atLeast"/>
        <w:ind w:left="420" w:leftChars="0" w:hanging="420" w:firstLineChars="0"/>
        <w:jc w:val="left"/>
        <w:textAlignment w:val="auto"/>
        <w:rPr>
          <w:rFonts w:hint="eastAsia" w:ascii="微软雅黑" w:hAnsi="微软雅黑" w:eastAsia="微软雅黑"/>
          <w:sz w:val="28"/>
          <w:szCs w:val="28"/>
        </w:rPr>
      </w:pPr>
      <w:r>
        <w:rPr>
          <w:rFonts w:hint="eastAsia" w:ascii="微软雅黑" w:hAnsi="微软雅黑" w:eastAsia="微软雅黑"/>
          <w:b/>
          <w:bCs/>
          <w:sz w:val="28"/>
          <w:szCs w:val="28"/>
        </w:rPr>
        <w:t>建筑化工：</w:t>
      </w:r>
      <w:r>
        <w:rPr>
          <w:rFonts w:hint="eastAsia" w:ascii="微软雅黑" w:hAnsi="微软雅黑" w:eastAsia="微软雅黑"/>
          <w:sz w:val="28"/>
          <w:szCs w:val="28"/>
        </w:rPr>
        <w:t>建筑涂料、漆料、粘合剂、胶粘剂、胶带、添加剂、助剂、填料、保温材料、防水材料、建筑防腐、玻纤材料等； </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432" w:lineRule="atLeast"/>
        <w:ind w:left="420" w:leftChars="0" w:hanging="420" w:firstLineChars="0"/>
        <w:jc w:val="left"/>
        <w:textAlignment w:val="auto"/>
        <w:rPr>
          <w:rFonts w:hint="eastAsia" w:ascii="微软雅黑" w:hAnsi="微软雅黑" w:eastAsia="微软雅黑"/>
          <w:sz w:val="28"/>
          <w:szCs w:val="28"/>
        </w:rPr>
      </w:pPr>
      <w:r>
        <w:rPr>
          <w:rFonts w:hint="eastAsia" w:ascii="微软雅黑" w:hAnsi="微软雅黑" w:eastAsia="微软雅黑"/>
          <w:b/>
          <w:bCs/>
          <w:sz w:val="28"/>
          <w:szCs w:val="28"/>
        </w:rPr>
        <w:t>加热及制冷类：</w:t>
      </w:r>
      <w:r>
        <w:rPr>
          <w:rFonts w:hint="eastAsia" w:ascii="微软雅黑" w:hAnsi="微软雅黑" w:eastAsia="微软雅黑"/>
          <w:sz w:val="28"/>
          <w:szCs w:val="28"/>
        </w:rPr>
        <w:t>加热，通风和空调组件、制冷系统和设备、水暖和水处理技术、泵、阀门，管道和配件、进出和起重设备等；</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432" w:lineRule="atLeast"/>
        <w:ind w:left="420" w:leftChars="0" w:hanging="420" w:firstLineChars="0"/>
        <w:jc w:val="left"/>
        <w:textAlignment w:val="auto"/>
        <w:rPr>
          <w:rFonts w:hint="eastAsia" w:ascii="微软雅黑" w:hAnsi="微软雅黑" w:eastAsia="微软雅黑" w:cs="宋体"/>
          <w:color w:val="333333"/>
          <w:kern w:val="0"/>
          <w:sz w:val="28"/>
          <w:szCs w:val="28"/>
          <w:lang w:val="en-US" w:eastAsia="zh-CN"/>
        </w:rPr>
      </w:pPr>
      <w:r>
        <w:rPr>
          <w:rFonts w:hint="eastAsia" w:ascii="微软雅黑" w:hAnsi="微软雅黑" w:eastAsia="微软雅黑"/>
          <w:b/>
          <w:bCs/>
          <w:sz w:val="28"/>
          <w:szCs w:val="28"/>
        </w:rPr>
        <w:t>混泥土及工程机械类：</w:t>
      </w:r>
      <w:r>
        <w:rPr>
          <w:rFonts w:hint="eastAsia" w:ascii="微软雅黑" w:hAnsi="微软雅黑" w:eastAsia="微软雅黑"/>
          <w:sz w:val="28"/>
          <w:szCs w:val="28"/>
        </w:rPr>
        <w:t>模板和脚手架、混凝土和水泥设备、建筑和商用车辆、配料设备、采矿机械和设备等等；</w:t>
      </w:r>
    </w:p>
    <w:p>
      <w:pPr>
        <w:widowControl/>
        <w:numPr>
          <w:ilvl w:val="0"/>
          <w:numId w:val="0"/>
        </w:numPr>
        <w:shd w:val="clear" w:color="auto" w:fill="FFFFFF"/>
        <w:wordWrap w:val="0"/>
        <w:spacing w:line="432" w:lineRule="atLeast"/>
        <w:ind w:leftChars="0"/>
        <w:jc w:val="left"/>
        <w:rPr>
          <w:rFonts w:hint="eastAsia" w:ascii="微软雅黑" w:hAnsi="微软雅黑" w:eastAsia="微软雅黑" w:cs="宋体"/>
          <w:color w:val="333333"/>
          <w:kern w:val="0"/>
          <w:szCs w:val="21"/>
          <w:lang w:val="en-US" w:eastAsia="zh-CN"/>
        </w:rPr>
      </w:pPr>
      <w:r>
        <w:rPr>
          <w:rFonts w:hint="eastAsia" w:ascii="微软雅黑" w:hAnsi="微软雅黑" w:eastAsia="微软雅黑" w:cs="微软雅黑"/>
          <w:b/>
          <w:bCs/>
          <w:sz w:val="40"/>
          <w:szCs w:val="40"/>
          <w:lang w:val="en-US" w:eastAsia="zh-CN"/>
        </w:rPr>
        <w:t>合作单位</w:t>
      </w:r>
      <w:r>
        <w:rPr>
          <w:rFonts w:hint="eastAsia" w:ascii="微软雅黑" w:hAnsi="微软雅黑" w:eastAsia="微软雅黑" w:cs="宋体"/>
          <w:color w:val="333333"/>
          <w:kern w:val="0"/>
          <w:szCs w:val="21"/>
          <w:lang w:val="en-US" w:eastAsia="zh-CN"/>
        </w:rPr>
        <w:drawing>
          <wp:inline distT="0" distB="0" distL="114300" distR="114300">
            <wp:extent cx="6478905" cy="542290"/>
            <wp:effectExtent l="0" t="0" r="17145" b="10160"/>
            <wp:docPr id="12" name="图片 12" descr="QQ截图2023101410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1014105700"/>
                    <pic:cNvPicPr>
                      <a:picLocks noChangeAspect="1"/>
                    </pic:cNvPicPr>
                  </pic:nvPicPr>
                  <pic:blipFill>
                    <a:blip r:embed="rId9"/>
                    <a:stretch>
                      <a:fillRect/>
                    </a:stretch>
                  </pic:blipFill>
                  <pic:spPr>
                    <a:xfrm>
                      <a:off x="0" y="0"/>
                      <a:ext cx="6478905" cy="542290"/>
                    </a:xfrm>
                    <a:prstGeom prst="rect">
                      <a:avLst/>
                    </a:prstGeom>
                  </pic:spPr>
                </pic:pic>
              </a:graphicData>
            </a:graphic>
          </wp:inline>
        </w:drawing>
      </w:r>
      <w:r>
        <w:rPr>
          <w:rFonts w:hint="eastAsia" w:ascii="微软雅黑" w:hAnsi="微软雅黑" w:eastAsia="微软雅黑" w:cs="宋体"/>
          <w:color w:val="333333"/>
          <w:kern w:val="0"/>
          <w:szCs w:val="21"/>
          <w:lang w:val="en-US" w:eastAsia="zh-CN"/>
        </w:rPr>
        <w:drawing>
          <wp:inline distT="0" distB="0" distL="114300" distR="114300">
            <wp:extent cx="6472555" cy="474980"/>
            <wp:effectExtent l="0" t="0" r="4445" b="1270"/>
            <wp:docPr id="11" name="图片 11" descr="QQ截图2023101410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31014105719"/>
                    <pic:cNvPicPr>
                      <a:picLocks noChangeAspect="1"/>
                    </pic:cNvPicPr>
                  </pic:nvPicPr>
                  <pic:blipFill>
                    <a:blip r:embed="rId10"/>
                    <a:stretch>
                      <a:fillRect/>
                    </a:stretch>
                  </pic:blipFill>
                  <pic:spPr>
                    <a:xfrm>
                      <a:off x="0" y="0"/>
                      <a:ext cx="6472555" cy="474980"/>
                    </a:xfrm>
                    <a:prstGeom prst="rect">
                      <a:avLst/>
                    </a:prstGeom>
                  </pic:spPr>
                </pic:pic>
              </a:graphicData>
            </a:graphic>
          </wp:inline>
        </w:drawing>
      </w:r>
      <w:r>
        <w:rPr>
          <w:rFonts w:hint="eastAsia" w:ascii="微软雅黑" w:hAnsi="微软雅黑" w:eastAsia="微软雅黑" w:cs="宋体"/>
          <w:color w:val="333333"/>
          <w:kern w:val="0"/>
          <w:szCs w:val="21"/>
          <w:lang w:val="en-US" w:eastAsia="zh-CN"/>
        </w:rPr>
        <w:drawing>
          <wp:inline distT="0" distB="0" distL="114300" distR="114300">
            <wp:extent cx="6475095" cy="428625"/>
            <wp:effectExtent l="0" t="0" r="1905" b="9525"/>
            <wp:docPr id="10" name="图片 10" descr="QQ截图202310141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31014105734"/>
                    <pic:cNvPicPr>
                      <a:picLocks noChangeAspect="1"/>
                    </pic:cNvPicPr>
                  </pic:nvPicPr>
                  <pic:blipFill>
                    <a:blip r:embed="rId11"/>
                    <a:stretch>
                      <a:fillRect/>
                    </a:stretch>
                  </pic:blipFill>
                  <pic:spPr>
                    <a:xfrm>
                      <a:off x="0" y="0"/>
                      <a:ext cx="6475095" cy="428625"/>
                    </a:xfrm>
                    <a:prstGeom prst="rect">
                      <a:avLst/>
                    </a:prstGeom>
                  </pic:spPr>
                </pic:pic>
              </a:graphicData>
            </a:graphic>
          </wp:inline>
        </w:drawing>
      </w:r>
    </w:p>
    <w:p>
      <w:pPr>
        <w:widowControl/>
        <w:numPr>
          <w:ilvl w:val="0"/>
          <w:numId w:val="0"/>
        </w:numPr>
        <w:shd w:val="clear" w:color="auto" w:fill="FFFFFF"/>
        <w:wordWrap w:val="0"/>
        <w:spacing w:line="432" w:lineRule="atLeast"/>
        <w:ind w:leftChars="0"/>
        <w:jc w:val="left"/>
        <w:rPr>
          <w:rFonts w:hint="default" w:ascii="微软雅黑" w:hAnsi="微软雅黑" w:eastAsia="微软雅黑" w:cs="宋体"/>
          <w:color w:val="333333"/>
          <w:kern w:val="0"/>
          <w:szCs w:val="21"/>
          <w:lang w:val="en-US" w:eastAsia="zh-CN"/>
        </w:rPr>
      </w:pPr>
      <w:r>
        <w:rPr>
          <w:rFonts w:hint="eastAsia" w:ascii="微软雅黑" w:hAnsi="微软雅黑" w:eastAsia="微软雅黑" w:cs="微软雅黑"/>
          <w:b/>
          <w:bCs/>
          <w:sz w:val="40"/>
          <w:szCs w:val="40"/>
          <w:lang w:val="en-US" w:eastAsia="zh-CN"/>
        </w:rPr>
        <w:t>同类展会</w:t>
      </w:r>
    </w:p>
    <w:p>
      <w:pPr>
        <w:widowControl/>
        <w:numPr>
          <w:ilvl w:val="0"/>
          <w:numId w:val="0"/>
        </w:numPr>
        <w:shd w:val="clear" w:color="auto" w:fill="FFFFFF"/>
        <w:wordWrap w:val="0"/>
        <w:spacing w:line="432" w:lineRule="atLeast"/>
        <w:ind w:leftChars="0"/>
        <w:jc w:val="center"/>
        <w:rPr>
          <w:rFonts w:hint="default" w:ascii="微软雅黑" w:hAnsi="微软雅黑" w:eastAsia="微软雅黑" w:cs="宋体"/>
          <w:color w:val="333333"/>
          <w:kern w:val="0"/>
          <w:szCs w:val="21"/>
          <w:lang w:val="en-US" w:eastAsia="zh-CN"/>
        </w:rPr>
      </w:pPr>
      <w:r>
        <w:rPr>
          <w:rFonts w:hint="default" w:ascii="微软雅黑" w:hAnsi="微软雅黑" w:eastAsia="微软雅黑" w:cs="宋体"/>
          <w:color w:val="333333"/>
          <w:kern w:val="0"/>
          <w:szCs w:val="21"/>
          <w:lang w:val="en-US" w:eastAsia="zh-CN"/>
        </w:rPr>
        <w:drawing>
          <wp:inline distT="0" distB="0" distL="114300" distR="114300">
            <wp:extent cx="6314440" cy="6500495"/>
            <wp:effectExtent l="0" t="0" r="10160" b="14605"/>
            <wp:docPr id="7" name="图片 7" descr="1建筑建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建筑建材"/>
                    <pic:cNvPicPr>
                      <a:picLocks noChangeAspect="1"/>
                    </pic:cNvPicPr>
                  </pic:nvPicPr>
                  <pic:blipFill>
                    <a:blip r:embed="rId12"/>
                    <a:stretch>
                      <a:fillRect/>
                    </a:stretch>
                  </pic:blipFill>
                  <pic:spPr>
                    <a:xfrm>
                      <a:off x="0" y="0"/>
                      <a:ext cx="6314440" cy="6500495"/>
                    </a:xfrm>
                    <a:prstGeom prst="rect">
                      <a:avLst/>
                    </a:prstGeom>
                  </pic:spPr>
                </pic:pic>
              </a:graphicData>
            </a:graphic>
          </wp:inline>
        </w:drawing>
      </w:r>
    </w:p>
    <w:p>
      <w:pPr>
        <w:widowControl/>
        <w:numPr>
          <w:ilvl w:val="0"/>
          <w:numId w:val="0"/>
        </w:numPr>
        <w:shd w:val="clear" w:color="auto" w:fill="FFFFFF"/>
        <w:wordWrap w:val="0"/>
        <w:spacing w:line="432" w:lineRule="atLeast"/>
        <w:ind w:leftChars="0"/>
        <w:jc w:val="center"/>
        <w:rPr>
          <w:rFonts w:hint="default" w:ascii="微软雅黑" w:hAnsi="微软雅黑" w:eastAsia="微软雅黑" w:cs="宋体"/>
          <w:color w:val="333333"/>
          <w:kern w:val="0"/>
          <w:szCs w:val="21"/>
          <w:lang w:val="en-US" w:eastAsia="zh-CN"/>
        </w:rPr>
      </w:pPr>
      <w:r>
        <w:rPr>
          <w:rFonts w:hint="default" w:ascii="微软雅黑" w:hAnsi="微软雅黑" w:eastAsia="微软雅黑" w:cs="宋体"/>
          <w:color w:val="333333"/>
          <w:kern w:val="0"/>
          <w:szCs w:val="21"/>
          <w:lang w:val="en-US" w:eastAsia="zh-CN"/>
        </w:rPr>
        <w:drawing>
          <wp:inline distT="0" distB="0" distL="114300" distR="114300">
            <wp:extent cx="6312535" cy="6430010"/>
            <wp:effectExtent l="0" t="0" r="12065" b="8890"/>
            <wp:docPr id="3" name="图片 3" descr="2建筑建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建筑建材"/>
                    <pic:cNvPicPr>
                      <a:picLocks noChangeAspect="1"/>
                    </pic:cNvPicPr>
                  </pic:nvPicPr>
                  <pic:blipFill>
                    <a:blip r:embed="rId13"/>
                    <a:stretch>
                      <a:fillRect/>
                    </a:stretch>
                  </pic:blipFill>
                  <pic:spPr>
                    <a:xfrm>
                      <a:off x="0" y="0"/>
                      <a:ext cx="6312535" cy="6430010"/>
                    </a:xfrm>
                    <a:prstGeom prst="rect">
                      <a:avLst/>
                    </a:prstGeom>
                  </pic:spPr>
                </pic:pic>
              </a:graphicData>
            </a:graphic>
          </wp:inline>
        </w:drawing>
      </w:r>
      <w:r>
        <w:rPr>
          <w:rFonts w:hint="default" w:ascii="微软雅黑" w:hAnsi="微软雅黑" w:eastAsia="微软雅黑" w:cs="宋体"/>
          <w:color w:val="333333"/>
          <w:kern w:val="0"/>
          <w:szCs w:val="21"/>
          <w:lang w:val="en-US" w:eastAsia="zh-CN"/>
        </w:rPr>
        <w:drawing>
          <wp:inline distT="0" distB="0" distL="114300" distR="114300">
            <wp:extent cx="6315710" cy="1699895"/>
            <wp:effectExtent l="0" t="0" r="8890" b="14605"/>
            <wp:docPr id="9" name="图片 9" descr="3建筑建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建筑建材"/>
                    <pic:cNvPicPr>
                      <a:picLocks noChangeAspect="1"/>
                    </pic:cNvPicPr>
                  </pic:nvPicPr>
                  <pic:blipFill>
                    <a:blip r:embed="rId14"/>
                    <a:stretch>
                      <a:fillRect/>
                    </a:stretch>
                  </pic:blipFill>
                  <pic:spPr>
                    <a:xfrm>
                      <a:off x="0" y="0"/>
                      <a:ext cx="6315710" cy="1699895"/>
                    </a:xfrm>
                    <a:prstGeom prst="rect">
                      <a:avLst/>
                    </a:prstGeom>
                  </pic:spPr>
                </pic:pic>
              </a:graphicData>
            </a:graphic>
          </wp:inline>
        </w:drawing>
      </w:r>
      <w:bookmarkStart w:id="0" w:name="_GoBack"/>
      <w:bookmarkEnd w:id="0"/>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B41CBD"/>
    <w:multiLevelType w:val="singleLevel"/>
    <w:tmpl w:val="DAB41CB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06D40EB"/>
    <w:rsid w:val="021055BF"/>
    <w:rsid w:val="024E36D3"/>
    <w:rsid w:val="0490356D"/>
    <w:rsid w:val="065C43FB"/>
    <w:rsid w:val="0AFD7E90"/>
    <w:rsid w:val="0B365CE9"/>
    <w:rsid w:val="0CCD15FF"/>
    <w:rsid w:val="0F2C7498"/>
    <w:rsid w:val="14077076"/>
    <w:rsid w:val="16D02216"/>
    <w:rsid w:val="1A1D3023"/>
    <w:rsid w:val="1BEA45D6"/>
    <w:rsid w:val="1D85341C"/>
    <w:rsid w:val="291A5005"/>
    <w:rsid w:val="2E811CCC"/>
    <w:rsid w:val="30C90EAE"/>
    <w:rsid w:val="371F7565"/>
    <w:rsid w:val="421F3775"/>
    <w:rsid w:val="442C5396"/>
    <w:rsid w:val="45340519"/>
    <w:rsid w:val="46ED4C90"/>
    <w:rsid w:val="48552ACB"/>
    <w:rsid w:val="497F2993"/>
    <w:rsid w:val="4EA93C5F"/>
    <w:rsid w:val="53355068"/>
    <w:rsid w:val="53CA6A5F"/>
    <w:rsid w:val="56985F83"/>
    <w:rsid w:val="5C412695"/>
    <w:rsid w:val="5D5F32BF"/>
    <w:rsid w:val="5E007B96"/>
    <w:rsid w:val="6145156F"/>
    <w:rsid w:val="622172B9"/>
    <w:rsid w:val="62806114"/>
    <w:rsid w:val="66B41704"/>
    <w:rsid w:val="683242A3"/>
    <w:rsid w:val="6DA324FF"/>
    <w:rsid w:val="6E9E491F"/>
    <w:rsid w:val="6FC32CD4"/>
    <w:rsid w:val="6FD967A8"/>
    <w:rsid w:val="703F2826"/>
    <w:rsid w:val="74C30200"/>
    <w:rsid w:val="7AC0617F"/>
    <w:rsid w:val="7B282677"/>
    <w:rsid w:val="7E7D4926"/>
    <w:rsid w:val="7E910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21"/>
      <w:szCs w:val="21"/>
      <w:lang w:val="en-US" w:eastAsia="en-US"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7">
    <w:name w:val="Table Normal"/>
    <w:semiHidden/>
    <w:unhideWhenUsed/>
    <w:qFormat/>
    <w:uiPriority w:val="0"/>
    <w:tblPr>
      <w:tblCellMar>
        <w:top w:w="0" w:type="dxa"/>
        <w:left w:w="0" w:type="dxa"/>
        <w:bottom w:w="0" w:type="dxa"/>
        <w:right w:w="0" w:type="dxa"/>
      </w:tblCellMar>
    </w:tblPr>
  </w:style>
  <w:style w:type="paragraph" w:styleId="8">
    <w:name w:val="List Paragraph"/>
    <w:basedOn w:val="1"/>
    <w:qFormat/>
    <w:uiPriority w:val="34"/>
    <w:pPr>
      <w:ind w:firstLine="420" w:firstLineChars="200"/>
    </w:pPr>
  </w:style>
  <w:style w:type="character" w:customStyle="1" w:styleId="9">
    <w:name w:val="wdyuqq"/>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1598</Words>
  <Characters>1755</Characters>
  <Lines>0</Lines>
  <Paragraphs>0</Paragraphs>
  <TotalTime>3</TotalTime>
  <ScaleCrop>false</ScaleCrop>
  <LinksUpToDate>false</LinksUpToDate>
  <CharactersWithSpaces>1790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2024-01-04T07:02:29Z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D587F0D87A854DE6A7F81288F7E8A489_12</vt:lpwstr>
  </property>
</Properties>
</file>