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A90A71">
      <w:pPr>
        <w:jc w:val="center"/>
        <w:rPr>
          <w:rFonts w:hint="eastAsia" w:eastAsia="宋体"/>
          <w:lang w:eastAsia="zh-CN"/>
        </w:rPr>
      </w:pPr>
      <w:r>
        <w:rPr>
          <w:rFonts w:hint="eastAsia" w:eastAsia="宋体"/>
          <w:lang w:eastAsia="zh-CN"/>
        </w:rPr>
        <w:drawing>
          <wp:inline distT="0" distB="0" distL="114300" distR="114300">
            <wp:extent cx="6426835" cy="2856865"/>
            <wp:effectExtent l="0" t="0" r="12065" b="635"/>
            <wp:docPr id="4" name="图片 4" descr="微信图片_202309271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0927141834"/>
                    <pic:cNvPicPr>
                      <a:picLocks noChangeAspect="1"/>
                    </pic:cNvPicPr>
                  </pic:nvPicPr>
                  <pic:blipFill>
                    <a:blip r:embed="rId4"/>
                    <a:stretch>
                      <a:fillRect/>
                    </a:stretch>
                  </pic:blipFill>
                  <pic:spPr>
                    <a:xfrm>
                      <a:off x="0" y="0"/>
                      <a:ext cx="6426835" cy="2856865"/>
                    </a:xfrm>
                    <a:prstGeom prst="rect">
                      <a:avLst/>
                    </a:prstGeom>
                  </pic:spPr>
                </pic:pic>
              </a:graphicData>
            </a:graphic>
          </wp:inline>
        </w:drawing>
      </w:r>
    </w:p>
    <w:p w14:paraId="6155F626">
      <w:pPr>
        <w:jc w:val="center"/>
        <w:rPr>
          <w:rFonts w:hint="default"/>
          <w:sz w:val="20"/>
          <w:szCs w:val="22"/>
          <w:lang w:val="en-US"/>
        </w:rPr>
      </w:pPr>
      <w:r>
        <w:rPr>
          <w:rFonts w:hint="eastAsia" w:ascii="微软雅黑" w:hAnsi="微软雅黑" w:eastAsia="微软雅黑" w:cs="微软雅黑"/>
          <w:b/>
          <w:bCs/>
          <w:kern w:val="0"/>
          <w:sz w:val="56"/>
          <w:szCs w:val="56"/>
          <w:lang w:val="en-US" w:eastAsia="zh-CN"/>
        </w:rPr>
        <w:t>2024年沙特智能家居及电子消费博览会</w:t>
      </w:r>
    </w:p>
    <w:p w14:paraId="5FE85A32">
      <w:pPr>
        <w:jc w:val="center"/>
        <w:rPr>
          <w:rFonts w:hint="eastAsia"/>
          <w:lang w:val="en-US" w:eastAsia="zh-CN"/>
        </w:rPr>
      </w:pPr>
      <w:r>
        <w:drawing>
          <wp:inline distT="0" distB="0" distL="0" distR="0">
            <wp:extent cx="2332990" cy="678815"/>
            <wp:effectExtent l="0" t="0" r="10160" b="6985"/>
            <wp:docPr id="1" name="图片 1" descr="E:\李姗\MIE\展会logo\沙特智能家居.png沙特智能家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李姗\MIE\展会logo\沙特智能家居.png沙特智能家居"/>
                    <pic:cNvPicPr>
                      <a:picLocks noChangeAspect="1"/>
                    </pic:cNvPicPr>
                  </pic:nvPicPr>
                  <pic:blipFill>
                    <a:blip r:embed="rId5"/>
                    <a:srcRect t="5641" b="5641"/>
                    <a:stretch>
                      <a:fillRect/>
                    </a:stretch>
                  </pic:blipFill>
                  <pic:spPr>
                    <a:xfrm>
                      <a:off x="0" y="0"/>
                      <a:ext cx="2332990" cy="678815"/>
                    </a:xfrm>
                    <a:prstGeom prst="rect">
                      <a:avLst/>
                    </a:prstGeom>
                  </pic:spPr>
                </pic:pic>
              </a:graphicData>
            </a:graphic>
          </wp:inline>
        </w:drawing>
      </w:r>
    </w:p>
    <w:p w14:paraId="34E29DEF">
      <w:pPr>
        <w:jc w:val="left"/>
        <w:rPr>
          <w:rFonts w:hint="eastAsia" w:ascii="微软雅黑" w:hAnsi="微软雅黑" w:eastAsia="微软雅黑" w:cs="微软雅黑"/>
          <w:b/>
          <w:bCs/>
          <w:sz w:val="40"/>
          <w:szCs w:val="40"/>
          <w:lang w:val="en-US" w:eastAsia="zh-CN"/>
        </w:rPr>
      </w:pPr>
      <w:r>
        <w:rPr>
          <w:rFonts w:hint="eastAsia" w:ascii="微软雅黑" w:hAnsi="微软雅黑" w:eastAsia="微软雅黑" w:cs="微软雅黑"/>
          <w:b/>
          <w:bCs/>
          <w:sz w:val="40"/>
          <w:szCs w:val="40"/>
          <w:lang w:val="en-US" w:eastAsia="zh-CN"/>
        </w:rPr>
        <w:t>展会介绍</w:t>
      </w:r>
    </w:p>
    <w:p w14:paraId="521D066A">
      <w:pPr>
        <w:pStyle w:val="2"/>
        <w:spacing w:before="96" w:line="188" w:lineRule="auto"/>
        <w:ind w:left="169"/>
        <w:jc w:val="left"/>
        <w:rPr>
          <w:rFonts w:hint="eastAsia"/>
          <w:b/>
          <w:bCs/>
          <w:color w:val="050E17"/>
          <w:spacing w:val="9"/>
          <w:sz w:val="28"/>
          <w:szCs w:val="28"/>
          <w:lang w:val="en-US" w:eastAsia="zh-CN"/>
        </w:rPr>
      </w:pPr>
      <w:r>
        <w:rPr>
          <w:rFonts w:hint="eastAsia"/>
          <w:b/>
          <w:bCs/>
          <w:color w:val="050E17"/>
          <w:spacing w:val="9"/>
          <w:sz w:val="28"/>
          <w:szCs w:val="28"/>
          <w:lang w:val="en-US" w:eastAsia="zh-CN"/>
        </w:rPr>
        <w:t>● 展会时间：2024年11月18-21日     展会地点：利雅得国际展览中心</w:t>
      </w:r>
    </w:p>
    <w:p w14:paraId="56A36320">
      <w:pPr>
        <w:pStyle w:val="2"/>
        <w:spacing w:before="96" w:line="188" w:lineRule="auto"/>
        <w:ind w:left="169"/>
        <w:jc w:val="left"/>
        <w:rPr>
          <w:rFonts w:hint="eastAsia"/>
          <w:b/>
          <w:bCs/>
          <w:color w:val="050E17"/>
          <w:spacing w:val="9"/>
          <w:sz w:val="28"/>
          <w:szCs w:val="28"/>
          <w:lang w:val="en-US" w:eastAsia="zh-CN"/>
        </w:rPr>
      </w:pPr>
      <w:r>
        <w:rPr>
          <w:rFonts w:hint="eastAsia"/>
          <w:b/>
          <w:bCs/>
          <w:color w:val="050E17"/>
          <w:spacing w:val="9"/>
          <w:sz w:val="28"/>
          <w:szCs w:val="28"/>
          <w:lang w:val="en-US" w:eastAsia="zh-CN"/>
        </w:rPr>
        <w:t>● 主办单位：MIE                      展会类型：酒店家居</w:t>
      </w:r>
    </w:p>
    <w:p w14:paraId="25DE12FC">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微软雅黑" w:hAnsi="微软雅黑" w:eastAsia="微软雅黑" w:cs="微软雅黑"/>
          <w:sz w:val="22"/>
          <w:szCs w:val="22"/>
        </w:rPr>
      </w:pPr>
      <w:r>
        <w:rPr>
          <w:position w:val="-61"/>
        </w:rPr>
        <w:drawing>
          <wp:anchor distT="0" distB="0" distL="0" distR="0" simplePos="0" relativeHeight="251659264" behindDoc="0" locked="0" layoutInCell="1" allowOverlap="1">
            <wp:simplePos x="0" y="0"/>
            <wp:positionH relativeFrom="column">
              <wp:posOffset>20320</wp:posOffset>
            </wp:positionH>
            <wp:positionV relativeFrom="paragraph">
              <wp:posOffset>243205</wp:posOffset>
            </wp:positionV>
            <wp:extent cx="6416675" cy="2728595"/>
            <wp:effectExtent l="0" t="0" r="3175" b="14605"/>
            <wp:wrapTopAndBottom/>
            <wp:docPr id="6" name="IM 6" descr="E:\李姗\MIE\招展资料—改后\2024.6\6.11-13 沙特智能家居展（Smart House）\图片2.png图片2"/>
            <wp:cNvGraphicFramePr/>
            <a:graphic xmlns:a="http://schemas.openxmlformats.org/drawingml/2006/main">
              <a:graphicData uri="http://schemas.openxmlformats.org/drawingml/2006/picture">
                <pic:pic xmlns:pic="http://schemas.openxmlformats.org/drawingml/2006/picture">
                  <pic:nvPicPr>
                    <pic:cNvPr id="6" name="IM 6" descr="E:\李姗\MIE\招展资料—改后\2024.6\6.11-13 沙特智能家居展（Smart House）\图片2.png图片2"/>
                    <pic:cNvPicPr/>
                  </pic:nvPicPr>
                  <pic:blipFill>
                    <a:blip r:embed="rId6"/>
                    <a:srcRect t="25072" b="25072"/>
                    <a:stretch>
                      <a:fillRect/>
                    </a:stretch>
                  </pic:blipFill>
                  <pic:spPr>
                    <a:xfrm>
                      <a:off x="0" y="0"/>
                      <a:ext cx="6416675" cy="2728595"/>
                    </a:xfrm>
                    <a:prstGeom prst="rect">
                      <a:avLst/>
                    </a:prstGeom>
                  </pic:spPr>
                </pic:pic>
              </a:graphicData>
            </a:graphic>
          </wp:anchor>
        </w:drawing>
      </w:r>
    </w:p>
    <w:p w14:paraId="6E5802B8">
      <w:pPr>
        <w:keepNext w:val="0"/>
        <w:keepLines w:val="0"/>
        <w:pageBreakBefore w:val="0"/>
        <w:widowControl w:val="0"/>
        <w:kinsoku/>
        <w:wordWrap/>
        <w:overflowPunct/>
        <w:topLinePunct w:val="0"/>
        <w:autoSpaceDE/>
        <w:autoSpaceDN/>
        <w:bidi w:val="0"/>
        <w:adjustRightInd/>
        <w:snapToGrid w:val="0"/>
        <w:spacing w:line="360" w:lineRule="auto"/>
        <w:ind w:firstLine="440" w:firstLineChars="200"/>
        <w:jc w:val="left"/>
        <w:textAlignment w:val="auto"/>
        <w:rPr>
          <w:rFonts w:hint="eastAsia" w:ascii="微软雅黑" w:hAnsi="微软雅黑" w:eastAsia="微软雅黑" w:cs="微软雅黑"/>
          <w:sz w:val="22"/>
          <w:szCs w:val="22"/>
        </w:rPr>
      </w:pPr>
    </w:p>
    <w:p w14:paraId="766A3331">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微软雅黑" w:hAnsi="微软雅黑" w:eastAsia="微软雅黑" w:cs="宋体"/>
          <w:kern w:val="0"/>
          <w:sz w:val="28"/>
          <w:szCs w:val="28"/>
          <w:lang w:val="en-US" w:eastAsia="zh-CN"/>
        </w:rPr>
      </w:pPr>
      <w:r>
        <w:rPr>
          <w:rFonts w:hint="eastAsia" w:ascii="微软雅黑" w:hAnsi="微软雅黑" w:eastAsia="微软雅黑" w:cs="宋体"/>
          <w:kern w:val="0"/>
          <w:szCs w:val="21"/>
          <w:lang w:val="en-US" w:eastAsia="zh-CN"/>
        </w:rPr>
        <w:t>​</w:t>
      </w:r>
      <w:r>
        <w:rPr>
          <w:rFonts w:hint="eastAsia" w:ascii="微软雅黑" w:hAnsi="微软雅黑" w:eastAsia="微软雅黑" w:cs="宋体"/>
          <w:kern w:val="0"/>
          <w:sz w:val="28"/>
          <w:szCs w:val="28"/>
          <w:lang w:val="en-US" w:eastAsia="zh-CN"/>
        </w:rPr>
        <w:t>沙特智能家居及消费电子博览会是由沙特境内知名展览主办方中东国际展览集团（Middle East</w:t>
      </w:r>
      <w:r>
        <w:rPr>
          <w:rFonts w:ascii="微软雅黑" w:hAnsi="微软雅黑" w:eastAsia="微软雅黑" w:cs="宋体"/>
          <w:kern w:val="0"/>
          <w:sz w:val="28"/>
          <w:szCs w:val="28"/>
        </w:rPr>
        <w:t xml:space="preserve"> International Exhibition, 简称MIE集团）</w:t>
      </w:r>
      <w:r>
        <w:rPr>
          <w:rFonts w:hint="eastAsia" w:ascii="微软雅黑" w:hAnsi="微软雅黑" w:eastAsia="微软雅黑" w:cs="宋体"/>
          <w:kern w:val="0"/>
          <w:sz w:val="28"/>
          <w:szCs w:val="28"/>
          <w:lang w:val="en-US" w:eastAsia="zh-CN"/>
        </w:rPr>
        <w:t>主办。</w:t>
      </w:r>
    </w:p>
    <w:p w14:paraId="789B83DA">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微软雅黑" w:hAnsi="微软雅黑" w:eastAsia="微软雅黑" w:cs="宋体"/>
          <w:kern w:val="0"/>
          <w:sz w:val="28"/>
          <w:szCs w:val="28"/>
          <w:lang w:val="en-US" w:eastAsia="zh-CN"/>
        </w:rPr>
      </w:pPr>
      <w:r>
        <w:rPr>
          <w:rFonts w:hint="eastAsia" w:ascii="微软雅黑" w:hAnsi="微软雅黑" w:eastAsia="微软雅黑" w:cs="宋体"/>
          <w:kern w:val="0"/>
          <w:sz w:val="28"/>
          <w:szCs w:val="28"/>
          <w:lang w:val="en-US" w:eastAsia="zh-CN"/>
        </w:rPr>
        <w:t>在全球大力发展新基建的背景下，随着5G通信技术、人工智能的快速应用与普及，万物互联互通已成为经济社会的发展趋势，智能家居及消费电子行业也迎来发展机遇。本展会为企业提供展示交流机会，使得参展商能透过展会找到高质量的采购商，并成为众多采购商的潜在供应商。</w:t>
      </w:r>
    </w:p>
    <w:p w14:paraId="2F734C5A">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微软雅黑" w:hAnsi="微软雅黑" w:eastAsia="微软雅黑" w:cs="宋体"/>
          <w:kern w:val="0"/>
          <w:sz w:val="28"/>
          <w:szCs w:val="28"/>
          <w:lang w:val="en-US" w:eastAsia="zh-CN"/>
        </w:rPr>
      </w:pPr>
      <w:r>
        <w:rPr>
          <w:rFonts w:hint="eastAsia" w:ascii="微软雅黑" w:hAnsi="微软雅黑" w:eastAsia="微软雅黑" w:cs="宋体"/>
          <w:kern w:val="0"/>
          <w:sz w:val="28"/>
          <w:szCs w:val="28"/>
          <w:lang w:val="en-US" w:eastAsia="zh-CN"/>
        </w:rPr>
        <w:t>2024年沙特智能家居及消费电子博览会将于2024年11月18-21日在沙特利雅得国际展览中心举办， 将有超过300家来自世界各国的展商参展，预计展出面积14000平方米。</w:t>
      </w:r>
    </w:p>
    <w:tbl>
      <w:tblPr>
        <w:tblStyle w:val="8"/>
        <w:tblpPr w:leftFromText="180" w:rightFromText="180" w:vertAnchor="text" w:horzAnchor="page" w:tblpXSpec="center" w:tblpY="137"/>
        <w:tblOverlap w:val="never"/>
        <w:tblW w:w="96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12"/>
        <w:gridCol w:w="2432"/>
        <w:gridCol w:w="2419"/>
        <w:gridCol w:w="2426"/>
      </w:tblGrid>
      <w:tr w14:paraId="1F762B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jc w:val="center"/>
        </w:trPr>
        <w:tc>
          <w:tcPr>
            <w:tcW w:w="2412" w:type="dxa"/>
            <w:shd w:val="clear" w:color="auto" w:fill="4069DD"/>
            <w:vAlign w:val="top"/>
          </w:tcPr>
          <w:p w14:paraId="6933694A">
            <w:pPr>
              <w:spacing w:before="211" w:line="190" w:lineRule="auto"/>
              <w:ind w:left="685"/>
              <w:rPr>
                <w:rFonts w:ascii="微软雅黑" w:hAnsi="微软雅黑" w:eastAsia="微软雅黑" w:cs="微软雅黑"/>
                <w:sz w:val="28"/>
                <w:szCs w:val="28"/>
              </w:rPr>
            </w:pPr>
            <w:r>
              <w:rPr>
                <w:rFonts w:ascii="微软雅黑" w:hAnsi="微软雅黑" w:eastAsia="微软雅黑" w:cs="微软雅黑"/>
                <w:color w:val="FFFFFF"/>
                <w:spacing w:val="3"/>
                <w:sz w:val="28"/>
                <w:szCs w:val="28"/>
              </w:rPr>
              <w:t>国际展商</w:t>
            </w:r>
          </w:p>
        </w:tc>
        <w:tc>
          <w:tcPr>
            <w:tcW w:w="2432" w:type="dxa"/>
            <w:shd w:val="clear" w:color="auto" w:fill="4069DD"/>
            <w:vAlign w:val="top"/>
          </w:tcPr>
          <w:p w14:paraId="009FBDD8">
            <w:pPr>
              <w:spacing w:before="210" w:line="189" w:lineRule="auto"/>
              <w:ind w:left="681"/>
              <w:rPr>
                <w:rFonts w:ascii="微软雅黑" w:hAnsi="微软雅黑" w:eastAsia="微软雅黑" w:cs="微软雅黑"/>
                <w:sz w:val="28"/>
                <w:szCs w:val="28"/>
              </w:rPr>
            </w:pPr>
            <w:r>
              <w:rPr>
                <w:rFonts w:ascii="微软雅黑" w:hAnsi="微软雅黑" w:eastAsia="微软雅黑" w:cs="微软雅黑"/>
                <w:color w:val="FFFFFF"/>
                <w:spacing w:val="6"/>
                <w:sz w:val="28"/>
                <w:szCs w:val="28"/>
              </w:rPr>
              <w:t>参展人数</w:t>
            </w:r>
          </w:p>
        </w:tc>
        <w:tc>
          <w:tcPr>
            <w:tcW w:w="2419" w:type="dxa"/>
            <w:shd w:val="clear" w:color="auto" w:fill="4069DD"/>
            <w:vAlign w:val="top"/>
          </w:tcPr>
          <w:p w14:paraId="206DF8BE">
            <w:pPr>
              <w:spacing w:before="210" w:line="191" w:lineRule="auto"/>
              <w:ind w:left="678"/>
              <w:rPr>
                <w:rFonts w:ascii="微软雅黑" w:hAnsi="微软雅黑" w:eastAsia="微软雅黑" w:cs="微软雅黑"/>
                <w:sz w:val="28"/>
                <w:szCs w:val="28"/>
              </w:rPr>
            </w:pPr>
            <w:r>
              <w:rPr>
                <w:rFonts w:ascii="微软雅黑" w:hAnsi="微软雅黑" w:eastAsia="微软雅黑" w:cs="微软雅黑"/>
                <w:color w:val="FFFFFF"/>
                <w:spacing w:val="6"/>
                <w:sz w:val="28"/>
                <w:szCs w:val="28"/>
              </w:rPr>
              <w:t>辐射国家</w:t>
            </w:r>
          </w:p>
        </w:tc>
        <w:tc>
          <w:tcPr>
            <w:tcW w:w="2426" w:type="dxa"/>
            <w:shd w:val="clear" w:color="auto" w:fill="4069DD"/>
            <w:vAlign w:val="top"/>
          </w:tcPr>
          <w:p w14:paraId="4D4463AF">
            <w:pPr>
              <w:spacing w:before="211" w:line="189" w:lineRule="auto"/>
              <w:ind w:left="679"/>
              <w:rPr>
                <w:rFonts w:ascii="微软雅黑" w:hAnsi="微软雅黑" w:eastAsia="微软雅黑" w:cs="微软雅黑"/>
                <w:sz w:val="28"/>
                <w:szCs w:val="28"/>
              </w:rPr>
            </w:pPr>
            <w:r>
              <w:rPr>
                <w:rFonts w:ascii="微软雅黑" w:hAnsi="微软雅黑" w:eastAsia="微软雅黑" w:cs="微软雅黑"/>
                <w:color w:val="FFFFFF"/>
                <w:spacing w:val="7"/>
                <w:sz w:val="28"/>
                <w:szCs w:val="28"/>
              </w:rPr>
              <w:t>展会面积</w:t>
            </w:r>
          </w:p>
        </w:tc>
      </w:tr>
      <w:tr w14:paraId="59B240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6" w:hRule="atLeast"/>
          <w:jc w:val="center"/>
        </w:trPr>
        <w:tc>
          <w:tcPr>
            <w:tcW w:w="2412" w:type="dxa"/>
            <w:vAlign w:val="top"/>
          </w:tcPr>
          <w:p w14:paraId="247DDC00">
            <w:pPr>
              <w:spacing w:before="227" w:line="214" w:lineRule="auto"/>
              <w:ind w:left="826"/>
              <w:rPr>
                <w:rFonts w:ascii="微软雅黑" w:hAnsi="微软雅黑" w:eastAsia="微软雅黑" w:cs="微软雅黑"/>
                <w:sz w:val="28"/>
                <w:szCs w:val="28"/>
              </w:rPr>
            </w:pPr>
            <w:r>
              <w:rPr>
                <w:rFonts w:hint="eastAsia" w:ascii="微软雅黑" w:hAnsi="微软雅黑" w:eastAsia="微软雅黑" w:cs="微软雅黑"/>
                <w:spacing w:val="-8"/>
                <w:sz w:val="28"/>
                <w:szCs w:val="28"/>
                <w:lang w:val="en-US" w:eastAsia="zh-CN"/>
              </w:rPr>
              <w:t>300</w:t>
            </w:r>
            <w:r>
              <w:rPr>
                <w:rFonts w:ascii="微软雅黑" w:hAnsi="微软雅黑" w:eastAsia="微软雅黑" w:cs="微软雅黑"/>
                <w:spacing w:val="-8"/>
                <w:sz w:val="28"/>
                <w:szCs w:val="28"/>
              </w:rPr>
              <w:t>+</w:t>
            </w:r>
          </w:p>
        </w:tc>
        <w:tc>
          <w:tcPr>
            <w:tcW w:w="2432" w:type="dxa"/>
            <w:vAlign w:val="top"/>
          </w:tcPr>
          <w:p w14:paraId="782F51CA">
            <w:pPr>
              <w:spacing w:before="225" w:line="197" w:lineRule="auto"/>
              <w:jc w:val="center"/>
              <w:rPr>
                <w:rFonts w:ascii="微软雅黑" w:hAnsi="微软雅黑" w:eastAsia="微软雅黑" w:cs="微软雅黑"/>
                <w:sz w:val="28"/>
                <w:szCs w:val="28"/>
              </w:rPr>
            </w:pPr>
            <w:r>
              <w:rPr>
                <w:rFonts w:hint="eastAsia" w:ascii="微软雅黑" w:hAnsi="微软雅黑" w:eastAsia="微软雅黑" w:cs="微软雅黑"/>
                <w:spacing w:val="-3"/>
                <w:sz w:val="28"/>
                <w:szCs w:val="28"/>
                <w:lang w:val="en-US" w:eastAsia="zh-CN"/>
              </w:rPr>
              <w:t>4,0</w:t>
            </w:r>
            <w:r>
              <w:rPr>
                <w:rFonts w:ascii="微软雅黑" w:hAnsi="微软雅黑" w:eastAsia="微软雅黑" w:cs="微软雅黑"/>
                <w:spacing w:val="-3"/>
                <w:sz w:val="28"/>
                <w:szCs w:val="28"/>
              </w:rPr>
              <w:t>00+</w:t>
            </w:r>
          </w:p>
        </w:tc>
        <w:tc>
          <w:tcPr>
            <w:tcW w:w="2419" w:type="dxa"/>
            <w:vAlign w:val="top"/>
          </w:tcPr>
          <w:p w14:paraId="3BB58D6C">
            <w:pPr>
              <w:spacing w:before="227" w:line="214" w:lineRule="auto"/>
              <w:ind w:left="933"/>
              <w:rPr>
                <w:rFonts w:ascii="微软雅黑" w:hAnsi="微软雅黑" w:eastAsia="微软雅黑" w:cs="微软雅黑"/>
                <w:sz w:val="28"/>
                <w:szCs w:val="28"/>
              </w:rPr>
            </w:pPr>
            <w:r>
              <w:rPr>
                <w:rFonts w:hint="eastAsia" w:ascii="微软雅黑" w:hAnsi="微软雅黑" w:eastAsia="微软雅黑" w:cs="微软雅黑"/>
                <w:color w:val="auto"/>
                <w:spacing w:val="-10"/>
                <w:sz w:val="28"/>
                <w:szCs w:val="28"/>
                <w:lang w:val="en-US" w:eastAsia="zh-CN"/>
              </w:rPr>
              <w:t>110</w:t>
            </w:r>
            <w:r>
              <w:rPr>
                <w:rFonts w:ascii="微软雅黑" w:hAnsi="微软雅黑" w:eastAsia="微软雅黑" w:cs="微软雅黑"/>
                <w:color w:val="auto"/>
                <w:spacing w:val="-10"/>
                <w:sz w:val="28"/>
                <w:szCs w:val="28"/>
              </w:rPr>
              <w:t>+</w:t>
            </w:r>
          </w:p>
        </w:tc>
        <w:tc>
          <w:tcPr>
            <w:tcW w:w="2426" w:type="dxa"/>
            <w:vAlign w:val="top"/>
          </w:tcPr>
          <w:p w14:paraId="16314164">
            <w:pPr>
              <w:spacing w:before="225" w:line="197" w:lineRule="auto"/>
              <w:ind w:left="587"/>
              <w:rPr>
                <w:rFonts w:ascii="微软雅黑" w:hAnsi="微软雅黑" w:eastAsia="微软雅黑" w:cs="微软雅黑"/>
                <w:sz w:val="28"/>
                <w:szCs w:val="28"/>
              </w:rPr>
            </w:pPr>
            <w:r>
              <w:rPr>
                <w:rFonts w:hint="eastAsia" w:ascii="微软雅黑" w:hAnsi="微软雅黑" w:eastAsia="微软雅黑" w:cs="微软雅黑"/>
                <w:color w:val="auto"/>
                <w:spacing w:val="-3"/>
                <w:sz w:val="28"/>
                <w:szCs w:val="28"/>
                <w:lang w:val="en-US" w:eastAsia="zh-CN"/>
              </w:rPr>
              <w:t>14</w:t>
            </w:r>
            <w:r>
              <w:rPr>
                <w:rFonts w:ascii="微软雅黑" w:hAnsi="微软雅黑" w:eastAsia="微软雅黑" w:cs="微软雅黑"/>
                <w:color w:val="auto"/>
                <w:spacing w:val="-3"/>
                <w:sz w:val="28"/>
                <w:szCs w:val="28"/>
              </w:rPr>
              <w:t>,000+</w:t>
            </w:r>
          </w:p>
        </w:tc>
      </w:tr>
    </w:tbl>
    <w:p w14:paraId="7720713E">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rFonts w:hint="eastAsia" w:ascii="微软雅黑" w:hAnsi="微软雅黑" w:eastAsia="微软雅黑" w:cs="微软雅黑"/>
          <w:b/>
          <w:bCs/>
          <w:sz w:val="40"/>
          <w:szCs w:val="40"/>
          <w:lang w:val="en-US" w:eastAsia="zh-CN"/>
        </w:rPr>
      </w:pPr>
    </w:p>
    <w:p w14:paraId="0816386C">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position w:val="-71"/>
        </w:rPr>
      </w:pPr>
      <w:r>
        <w:rPr>
          <w:rFonts w:hint="eastAsia" w:ascii="微软雅黑" w:hAnsi="微软雅黑" w:eastAsia="微软雅黑" w:cs="微软雅黑"/>
          <w:b/>
          <w:bCs/>
          <w:sz w:val="40"/>
          <w:szCs w:val="40"/>
          <w:lang w:val="en-US" w:eastAsia="zh-CN"/>
        </w:rPr>
        <w:t>市场机遇</w:t>
      </w:r>
    </w:p>
    <w:p w14:paraId="4C1DA66D">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position w:val="-71"/>
        </w:rPr>
      </w:pPr>
      <w:r>
        <w:rPr>
          <w:position w:val="-71"/>
        </w:rPr>
        <w:drawing>
          <wp:inline distT="0" distB="0" distL="0" distR="0">
            <wp:extent cx="6415405" cy="2728595"/>
            <wp:effectExtent l="0" t="0" r="4445" b="14605"/>
            <wp:docPr id="8" name="IM 8" descr="E:\李姗\MIE\招展资料—改后\2024.6\6.11-13 沙特智能家居展（Smart House）\图片1.png图片1"/>
            <wp:cNvGraphicFramePr/>
            <a:graphic xmlns:a="http://schemas.openxmlformats.org/drawingml/2006/main">
              <a:graphicData uri="http://schemas.openxmlformats.org/drawingml/2006/picture">
                <pic:pic xmlns:pic="http://schemas.openxmlformats.org/drawingml/2006/picture">
                  <pic:nvPicPr>
                    <pic:cNvPr id="8" name="IM 8" descr="E:\李姗\MIE\招展资料—改后\2024.6\6.11-13 沙特智能家居展（Smart House）\图片1.png图片1"/>
                    <pic:cNvPicPr/>
                  </pic:nvPicPr>
                  <pic:blipFill>
                    <a:blip r:embed="rId7"/>
                    <a:srcRect t="30297" b="13838"/>
                    <a:stretch>
                      <a:fillRect/>
                    </a:stretch>
                  </pic:blipFill>
                  <pic:spPr>
                    <a:xfrm>
                      <a:off x="0" y="0"/>
                      <a:ext cx="6415405" cy="2728595"/>
                    </a:xfrm>
                    <a:prstGeom prst="rect">
                      <a:avLst/>
                    </a:prstGeom>
                  </pic:spPr>
                </pic:pic>
              </a:graphicData>
            </a:graphic>
          </wp:inline>
        </w:drawing>
      </w:r>
    </w:p>
    <w:p w14:paraId="732C20D7">
      <w:pPr>
        <w:keepNext w:val="0"/>
        <w:keepLines w:val="0"/>
        <w:pageBreakBefore w:val="0"/>
        <w:widowControl w:val="0"/>
        <w:kinsoku/>
        <w:wordWrap/>
        <w:overflowPunct/>
        <w:topLinePunct w:val="0"/>
        <w:autoSpaceDE/>
        <w:autoSpaceDN/>
        <w:bidi w:val="0"/>
        <w:adjustRightInd/>
        <w:snapToGrid/>
        <w:ind w:firstLine="200" w:firstLineChars="200"/>
        <w:textAlignment w:val="auto"/>
        <w:rPr>
          <w:rFonts w:hint="eastAsia" w:ascii="微软雅黑" w:hAnsi="微软雅黑" w:eastAsia="微软雅黑" w:cs="宋体"/>
          <w:kern w:val="0"/>
          <w:sz w:val="10"/>
          <w:szCs w:val="10"/>
        </w:rPr>
      </w:pPr>
    </w:p>
    <w:p w14:paraId="65E5F0BF">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微软雅黑" w:hAnsi="微软雅黑" w:eastAsia="微软雅黑" w:cs="宋体"/>
          <w:kern w:val="0"/>
          <w:sz w:val="28"/>
          <w:szCs w:val="28"/>
          <w:lang w:val="en-US" w:eastAsia="zh-CN"/>
        </w:rPr>
      </w:pPr>
      <w:r>
        <w:rPr>
          <w:rFonts w:hint="eastAsia" w:ascii="微软雅黑" w:hAnsi="微软雅黑" w:eastAsia="微软雅黑" w:cs="宋体"/>
          <w:kern w:val="0"/>
          <w:sz w:val="28"/>
          <w:szCs w:val="28"/>
          <w:lang w:val="en-US" w:eastAsia="zh-CN"/>
        </w:rPr>
        <w:t xml:space="preserve"> 沙特阿拉伯的家电市场在过去几年经历了稳定的增长，预计未来十年这一趋势将持续。考虑到消费者购买力的提高，沙特阿拉伯成为海湾合作委员会中最大的家电市场之一。快速的城市化进程是国内家电市场增长的主要驱动因素。更换销售在全球范围内越来越受欢迎，绝大多数人愿意用更智能、创新和更小的电器来更换现有的电器。</w:t>
      </w:r>
    </w:p>
    <w:p w14:paraId="4A1D584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微软雅黑" w:hAnsi="微软雅黑" w:eastAsia="微软雅黑" w:cs="宋体"/>
          <w:kern w:val="0"/>
          <w:sz w:val="28"/>
          <w:szCs w:val="28"/>
          <w:lang w:val="en-US" w:eastAsia="zh-CN"/>
        </w:rPr>
      </w:pPr>
      <w:r>
        <w:rPr>
          <w:rFonts w:hint="eastAsia" w:ascii="微软雅黑" w:hAnsi="微软雅黑" w:eastAsia="微软雅黑" w:cs="宋体"/>
          <w:kern w:val="0"/>
          <w:sz w:val="28"/>
          <w:szCs w:val="28"/>
          <w:lang w:val="en-US" w:eastAsia="zh-CN"/>
        </w:rPr>
        <w:t>据市场研究公司Frost &amp; Sullivan的数据显示，2019年沙特智能家居市场规模约为1.4亿美元，预计到2025年将增长至4.7亿美元，年复合增长率为18.4%。</w:t>
      </w:r>
    </w:p>
    <w:p w14:paraId="7F88368A">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微软雅黑" w:hAnsi="微软雅黑" w:eastAsia="微软雅黑" w:cs="宋体"/>
          <w:kern w:val="0"/>
          <w:sz w:val="28"/>
          <w:szCs w:val="28"/>
          <w:lang w:val="en-US" w:eastAsia="zh-CN"/>
        </w:rPr>
      </w:pPr>
      <w:r>
        <w:rPr>
          <w:rFonts w:hint="eastAsia" w:ascii="微软雅黑" w:hAnsi="微软雅黑" w:eastAsia="微软雅黑" w:cs="宋体"/>
          <w:kern w:val="0"/>
          <w:sz w:val="28"/>
          <w:szCs w:val="28"/>
          <w:lang w:val="en-US" w:eastAsia="zh-CN"/>
        </w:rPr>
        <w:t>据沙特阿拉伯市场研究公司Market Research Future的数据显示，2019年沙特智能家居市场中，智能照明系统占据了最大的市场份额，其次是智能安全系统和智能家电。</w:t>
      </w:r>
    </w:p>
    <w:p w14:paraId="1902119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微软雅黑" w:hAnsi="微软雅黑" w:eastAsia="微软雅黑" w:cs="宋体"/>
          <w:kern w:val="0"/>
          <w:sz w:val="28"/>
          <w:szCs w:val="28"/>
          <w:lang w:val="en-US" w:eastAsia="zh-CN"/>
        </w:rPr>
      </w:pPr>
      <w:r>
        <w:rPr>
          <w:rFonts w:hint="eastAsia" w:ascii="微软雅黑" w:hAnsi="微软雅黑" w:eastAsia="微软雅黑" w:cs="宋体"/>
          <w:kern w:val="0"/>
          <w:sz w:val="28"/>
          <w:szCs w:val="28"/>
          <w:lang w:val="en-US" w:eastAsia="zh-CN"/>
        </w:rPr>
        <w:t>据沙特智能家居协会（Saudi Smart Home Association）的数据显示，截至2020年底，沙特已有超过100家智能家居企业，其中大部分是本土企业。到2030年，沙特将在人工智能领域吸引约200亿美元的国内外投资、培训超过2万名数据和人工智能专家、创建300多家初创企业等。</w:t>
      </w:r>
    </w:p>
    <w:p w14:paraId="7F53636A">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微软雅黑" w:hAnsi="微软雅黑" w:eastAsia="微软雅黑" w:cs="宋体"/>
          <w:kern w:val="0"/>
          <w:sz w:val="28"/>
          <w:szCs w:val="28"/>
          <w:lang w:val="en-US" w:eastAsia="zh-CN"/>
        </w:rPr>
      </w:pPr>
      <w:r>
        <w:rPr>
          <w:rFonts w:hint="default" w:ascii="微软雅黑" w:hAnsi="微软雅黑" w:eastAsia="微软雅黑" w:cs="宋体"/>
          <w:kern w:val="0"/>
          <w:sz w:val="28"/>
          <w:szCs w:val="28"/>
          <w:lang w:val="en-US" w:eastAsia="zh-CN"/>
        </w:rPr>
        <w:t>沙特电子消费品市场近年来持续增长，主要受到年轻人群体的消费需求推动。智能手机、平板电脑、智能家居产品和电子游戏设备等产品受到消费者青睐，市场需求持续增加。</w:t>
      </w:r>
    </w:p>
    <w:p w14:paraId="430735BA">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微软雅黑" w:hAnsi="微软雅黑" w:eastAsia="微软雅黑" w:cs="宋体"/>
          <w:kern w:val="0"/>
          <w:sz w:val="28"/>
          <w:szCs w:val="28"/>
          <w:lang w:val="en-US" w:eastAsia="zh-CN"/>
        </w:rPr>
      </w:pPr>
      <w:r>
        <w:rPr>
          <w:rFonts w:hint="default" w:ascii="微软雅黑" w:hAnsi="微软雅黑" w:eastAsia="微软雅黑" w:cs="宋体"/>
          <w:kern w:val="0"/>
          <w:sz w:val="28"/>
          <w:szCs w:val="28"/>
          <w:lang w:val="en-US" w:eastAsia="zh-CN"/>
        </w:rPr>
        <w:t>根据沙特阿拉伯电子商务协会（SAEMA）的数据，2018年沙特阿拉伯电子商务市场规模达到180亿沙特里亚尔（约合50亿美元），预计到2025年将达到460亿沙特里亚尔（约合130亿美元）。</w:t>
      </w:r>
    </w:p>
    <w:p w14:paraId="6C25A198">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微软雅黑" w:hAnsi="微软雅黑" w:eastAsia="微软雅黑" w:cs="宋体"/>
          <w:kern w:val="0"/>
          <w:sz w:val="28"/>
          <w:szCs w:val="28"/>
          <w:lang w:val="en-US" w:eastAsia="zh-CN"/>
        </w:rPr>
      </w:pPr>
      <w:r>
        <w:rPr>
          <w:rFonts w:hint="default" w:ascii="微软雅黑" w:hAnsi="微软雅黑" w:eastAsia="微软雅黑" w:cs="宋体"/>
          <w:kern w:val="0"/>
          <w:sz w:val="28"/>
          <w:szCs w:val="28"/>
          <w:lang w:val="en-US" w:eastAsia="zh-CN"/>
        </w:rPr>
        <w:t>未来几年，沙特阿拉伯的电子消费品市场将继续保持增长。随着5G技术的普及和AI技术的发展，智能家居、物联网等新兴领域将成为市场的主要增长点。同时，消费者对高品质、高性价比的电子消费品的需求也将继续增加。</w:t>
      </w:r>
    </w:p>
    <w:p w14:paraId="37008F79">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rFonts w:hint="eastAsia" w:ascii="微软雅黑" w:hAnsi="微软雅黑" w:eastAsia="微软雅黑" w:cs="微软雅黑"/>
          <w:b/>
          <w:bCs/>
          <w:sz w:val="40"/>
          <w:szCs w:val="40"/>
          <w:lang w:val="en-US" w:eastAsia="zh-CN"/>
        </w:rPr>
      </w:pPr>
    </w:p>
    <w:p w14:paraId="0618ABD0">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rFonts w:hint="eastAsia" w:ascii="微软雅黑" w:hAnsi="微软雅黑" w:eastAsia="微软雅黑" w:cs="微软雅黑"/>
          <w:b/>
          <w:bCs/>
          <w:sz w:val="40"/>
          <w:szCs w:val="40"/>
          <w:lang w:val="en-US" w:eastAsia="zh-CN"/>
        </w:rPr>
      </w:pPr>
    </w:p>
    <w:p w14:paraId="2F8A3BAC">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rFonts w:hint="eastAsia" w:ascii="微软雅黑" w:hAnsi="微软雅黑" w:eastAsia="微软雅黑" w:cs="宋体"/>
          <w:kern w:val="0"/>
          <w:sz w:val="43"/>
          <w:szCs w:val="43"/>
          <w:lang w:val="en-US" w:eastAsia="zh-CN"/>
        </w:rPr>
      </w:pPr>
      <w:bookmarkStart w:id="0" w:name="_GoBack"/>
      <w:bookmarkEnd w:id="0"/>
      <w:r>
        <w:rPr>
          <w:rFonts w:hint="eastAsia" w:ascii="微软雅黑" w:hAnsi="微软雅黑" w:eastAsia="微软雅黑" w:cs="微软雅黑"/>
          <w:b/>
          <w:bCs/>
          <w:sz w:val="40"/>
          <w:szCs w:val="40"/>
          <w:lang w:val="en-US" w:eastAsia="zh-CN"/>
        </w:rPr>
        <w:t>招展范围</w:t>
      </w:r>
    </w:p>
    <w:p w14:paraId="7556BC25">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rFonts w:hint="eastAsia" w:ascii="微软雅黑" w:hAnsi="微软雅黑" w:eastAsia="微软雅黑" w:cs="宋体"/>
          <w:kern w:val="0"/>
          <w:sz w:val="43"/>
          <w:szCs w:val="43"/>
          <w:lang w:val="en-US" w:eastAsia="zh-CN"/>
        </w:rPr>
      </w:pPr>
      <w:r>
        <w:rPr>
          <w:rFonts w:hint="eastAsia" w:ascii="微软雅黑" w:hAnsi="微软雅黑" w:eastAsia="微软雅黑" w:cs="宋体"/>
          <w:kern w:val="0"/>
          <w:sz w:val="43"/>
          <w:szCs w:val="43"/>
          <w:lang w:val="en-US" w:eastAsia="zh-CN"/>
        </w:rPr>
        <w:drawing>
          <wp:inline distT="0" distB="0" distL="114300" distR="114300">
            <wp:extent cx="6415405" cy="2728595"/>
            <wp:effectExtent l="0" t="0" r="4445" b="14605"/>
            <wp:docPr id="5" name="图片 5" descr="E:\李姗\MIE\招展资料—改后\2024.6\6.11-13 南非酒店&amp;家居展\OO-Hotel-and-Hospitality-2023_Day-1-499.jpgOO-Hotel-and-Hospitality-2023_Day-1-499"/>
            <wp:cNvGraphicFramePr/>
            <a:graphic xmlns:a="http://schemas.openxmlformats.org/drawingml/2006/main">
              <a:graphicData uri="http://schemas.openxmlformats.org/drawingml/2006/picture">
                <pic:pic xmlns:pic="http://schemas.openxmlformats.org/drawingml/2006/picture">
                  <pic:nvPicPr>
                    <pic:cNvPr id="5" name="图片 5" descr="E:\李姗\MIE\招展资料—改后\2024.6\6.11-13 南非酒店&amp;家居展\OO-Hotel-and-Hospitality-2023_Day-1-499.jpgOO-Hotel-and-Hospitality-2023_Day-1-499"/>
                    <pic:cNvPicPr/>
                  </pic:nvPicPr>
                  <pic:blipFill>
                    <a:blip r:embed="rId8"/>
                    <a:srcRect t="18104" b="18104"/>
                    <a:stretch>
                      <a:fillRect/>
                    </a:stretch>
                  </pic:blipFill>
                  <pic:spPr>
                    <a:xfrm>
                      <a:off x="0" y="0"/>
                      <a:ext cx="6415405" cy="2728595"/>
                    </a:xfrm>
                    <a:prstGeom prst="rect">
                      <a:avLst/>
                    </a:prstGeom>
                  </pic:spPr>
                </pic:pic>
              </a:graphicData>
            </a:graphic>
          </wp:inline>
        </w:drawing>
      </w:r>
    </w:p>
    <w:p w14:paraId="5D838B23">
      <w:pPr>
        <w:keepNext w:val="0"/>
        <w:keepLines w:val="0"/>
        <w:pageBreakBefore w:val="0"/>
        <w:widowControl w:val="0"/>
        <w:kinsoku/>
        <w:wordWrap/>
        <w:overflowPunct/>
        <w:topLinePunct w:val="0"/>
        <w:autoSpaceDE/>
        <w:autoSpaceDN/>
        <w:bidi w:val="0"/>
        <w:adjustRightInd/>
        <w:snapToGrid/>
        <w:textAlignment w:val="auto"/>
        <w:rPr>
          <w:rFonts w:hint="eastAsia" w:ascii="微软雅黑" w:hAnsi="微软雅黑" w:eastAsia="微软雅黑" w:cs="宋体"/>
          <w:b/>
          <w:bCs/>
          <w:kern w:val="0"/>
          <w:sz w:val="28"/>
          <w:szCs w:val="28"/>
          <w:lang w:val="en-US" w:eastAsia="zh-CN"/>
        </w:rPr>
      </w:pPr>
      <w:r>
        <w:rPr>
          <w:rFonts w:hint="eastAsia" w:ascii="微软雅黑" w:hAnsi="微软雅黑" w:eastAsia="微软雅黑" w:cs="宋体"/>
          <w:b/>
          <w:bCs/>
          <w:kern w:val="0"/>
          <w:sz w:val="28"/>
          <w:szCs w:val="28"/>
          <w:lang w:val="en-US" w:eastAsia="zh-CN"/>
        </w:rPr>
        <w:t>●智能家居产品&amp;技术</w:t>
      </w:r>
    </w:p>
    <w:p w14:paraId="40E7DD3C">
      <w:pPr>
        <w:keepNext w:val="0"/>
        <w:keepLines w:val="0"/>
        <w:pageBreakBefore w:val="0"/>
        <w:widowControl w:val="0"/>
        <w:kinsoku/>
        <w:wordWrap/>
        <w:overflowPunct/>
        <w:topLinePunct w:val="0"/>
        <w:autoSpaceDE/>
        <w:autoSpaceDN/>
        <w:bidi w:val="0"/>
        <w:adjustRightInd/>
        <w:snapToGrid/>
        <w:textAlignment w:val="auto"/>
        <w:rPr>
          <w:rFonts w:hint="eastAsia" w:ascii="微软雅黑" w:hAnsi="微软雅黑" w:eastAsia="微软雅黑" w:cs="宋体"/>
          <w:kern w:val="0"/>
          <w:sz w:val="28"/>
          <w:szCs w:val="28"/>
          <w:lang w:val="en-US" w:eastAsia="zh-CN"/>
        </w:rPr>
      </w:pPr>
      <w:r>
        <w:rPr>
          <w:rFonts w:hint="eastAsia" w:ascii="微软雅黑" w:hAnsi="微软雅黑" w:eastAsia="微软雅黑" w:cs="宋体"/>
          <w:b/>
          <w:bCs/>
          <w:kern w:val="0"/>
          <w:sz w:val="28"/>
          <w:szCs w:val="28"/>
          <w:lang w:val="en-US" w:eastAsia="zh-CN"/>
        </w:rPr>
        <w:t>智慧建筑：</w:t>
      </w:r>
      <w:r>
        <w:rPr>
          <w:rFonts w:hint="eastAsia" w:ascii="微软雅黑" w:hAnsi="微软雅黑" w:eastAsia="微软雅黑" w:cs="宋体"/>
          <w:kern w:val="0"/>
          <w:sz w:val="28"/>
          <w:szCs w:val="28"/>
          <w:lang w:val="en-US" w:eastAsia="zh-CN"/>
        </w:rPr>
        <w:t>建筑设计、建筑工程、智能控制系统、能源管理、物联网技术、数据分析；</w:t>
      </w:r>
    </w:p>
    <w:p w14:paraId="7569FF87">
      <w:pPr>
        <w:keepNext w:val="0"/>
        <w:keepLines w:val="0"/>
        <w:pageBreakBefore w:val="0"/>
        <w:widowControl w:val="0"/>
        <w:kinsoku/>
        <w:wordWrap/>
        <w:overflowPunct/>
        <w:topLinePunct w:val="0"/>
        <w:autoSpaceDE/>
        <w:autoSpaceDN/>
        <w:bidi w:val="0"/>
        <w:adjustRightInd/>
        <w:snapToGrid/>
        <w:textAlignment w:val="auto"/>
        <w:rPr>
          <w:rFonts w:hint="eastAsia" w:ascii="微软雅黑" w:hAnsi="微软雅黑" w:eastAsia="微软雅黑" w:cs="宋体"/>
          <w:kern w:val="0"/>
          <w:sz w:val="28"/>
          <w:szCs w:val="28"/>
          <w:lang w:val="en-US" w:eastAsia="zh-CN"/>
        </w:rPr>
      </w:pPr>
      <w:r>
        <w:rPr>
          <w:rFonts w:hint="eastAsia" w:ascii="微软雅黑" w:hAnsi="微软雅黑" w:eastAsia="微软雅黑" w:cs="宋体"/>
          <w:b/>
          <w:bCs/>
          <w:kern w:val="0"/>
          <w:sz w:val="28"/>
          <w:szCs w:val="28"/>
          <w:lang w:val="en-US" w:eastAsia="zh-CN"/>
        </w:rPr>
        <w:t>智能家电：</w:t>
      </w:r>
      <w:r>
        <w:rPr>
          <w:rFonts w:hint="eastAsia" w:ascii="微软雅黑" w:hAnsi="微软雅黑" w:eastAsia="微软雅黑" w:cs="宋体"/>
          <w:kern w:val="0"/>
          <w:sz w:val="28"/>
          <w:szCs w:val="28"/>
          <w:lang w:val="en-US" w:eastAsia="zh-CN"/>
        </w:rPr>
        <w:t>智能家居、智能厨房、智能卫浴、智能安防、智能家电等；</w:t>
      </w:r>
    </w:p>
    <w:p w14:paraId="6F6DC69F">
      <w:pPr>
        <w:keepNext w:val="0"/>
        <w:keepLines w:val="0"/>
        <w:pageBreakBefore w:val="0"/>
        <w:widowControl w:val="0"/>
        <w:kinsoku/>
        <w:wordWrap/>
        <w:overflowPunct/>
        <w:topLinePunct w:val="0"/>
        <w:autoSpaceDE/>
        <w:autoSpaceDN/>
        <w:bidi w:val="0"/>
        <w:adjustRightInd/>
        <w:snapToGrid/>
        <w:textAlignment w:val="auto"/>
        <w:rPr>
          <w:rFonts w:hint="eastAsia" w:ascii="微软雅黑" w:hAnsi="微软雅黑" w:eastAsia="微软雅黑" w:cs="宋体"/>
          <w:kern w:val="0"/>
          <w:sz w:val="28"/>
          <w:szCs w:val="28"/>
          <w:lang w:val="en-US" w:eastAsia="zh-CN"/>
        </w:rPr>
      </w:pPr>
      <w:r>
        <w:rPr>
          <w:rFonts w:hint="eastAsia" w:ascii="微软雅黑" w:hAnsi="微软雅黑" w:eastAsia="微软雅黑" w:cs="宋体"/>
          <w:b/>
          <w:bCs/>
          <w:kern w:val="0"/>
          <w:sz w:val="28"/>
          <w:szCs w:val="28"/>
          <w:lang w:val="en-US" w:eastAsia="zh-CN"/>
        </w:rPr>
        <w:t>智能厨卫：</w:t>
      </w:r>
      <w:r>
        <w:rPr>
          <w:rFonts w:hint="eastAsia" w:ascii="微软雅黑" w:hAnsi="微软雅黑" w:eastAsia="微软雅黑" w:cs="宋体"/>
          <w:kern w:val="0"/>
          <w:sz w:val="28"/>
          <w:szCs w:val="28"/>
          <w:lang w:val="en-US" w:eastAsia="zh-CN"/>
        </w:rPr>
        <w:t>智能厨具、智能洗碗机、智能洗衣机、智能冰箱、智能烤箱等；</w:t>
      </w:r>
    </w:p>
    <w:p w14:paraId="7DE5B730">
      <w:pPr>
        <w:keepNext w:val="0"/>
        <w:keepLines w:val="0"/>
        <w:pageBreakBefore w:val="0"/>
        <w:widowControl w:val="0"/>
        <w:kinsoku/>
        <w:wordWrap/>
        <w:overflowPunct/>
        <w:topLinePunct w:val="0"/>
        <w:autoSpaceDE/>
        <w:autoSpaceDN/>
        <w:bidi w:val="0"/>
        <w:adjustRightInd/>
        <w:snapToGrid/>
        <w:textAlignment w:val="auto"/>
        <w:rPr>
          <w:rFonts w:hint="eastAsia" w:ascii="微软雅黑" w:hAnsi="微软雅黑" w:eastAsia="微软雅黑" w:cs="宋体"/>
          <w:kern w:val="0"/>
          <w:sz w:val="28"/>
          <w:szCs w:val="28"/>
          <w:lang w:val="en-US" w:eastAsia="zh-CN"/>
        </w:rPr>
      </w:pPr>
      <w:r>
        <w:rPr>
          <w:rFonts w:hint="eastAsia" w:ascii="微软雅黑" w:hAnsi="微软雅黑" w:eastAsia="微软雅黑" w:cs="宋体"/>
          <w:b/>
          <w:bCs/>
          <w:kern w:val="0"/>
          <w:sz w:val="28"/>
          <w:szCs w:val="28"/>
          <w:lang w:val="en-US" w:eastAsia="zh-CN"/>
        </w:rPr>
        <w:t>智慧安防：</w:t>
      </w:r>
      <w:r>
        <w:rPr>
          <w:rFonts w:hint="eastAsia" w:ascii="微软雅黑" w:hAnsi="微软雅黑" w:eastAsia="微软雅黑" w:cs="宋体"/>
          <w:kern w:val="0"/>
          <w:sz w:val="28"/>
          <w:szCs w:val="28"/>
          <w:lang w:val="en-US" w:eastAsia="zh-CN"/>
        </w:rPr>
        <w:t>视频监控系统、门禁系统、停车场管理系统、人脸识别系统、智能摄像头、智能门锁、智能报警系统、智能门窗传感器等；</w:t>
      </w:r>
    </w:p>
    <w:p w14:paraId="36B9D2F2">
      <w:pPr>
        <w:keepNext w:val="0"/>
        <w:keepLines w:val="0"/>
        <w:pageBreakBefore w:val="0"/>
        <w:widowControl w:val="0"/>
        <w:kinsoku/>
        <w:wordWrap/>
        <w:overflowPunct/>
        <w:topLinePunct w:val="0"/>
        <w:autoSpaceDE/>
        <w:autoSpaceDN/>
        <w:bidi w:val="0"/>
        <w:adjustRightInd/>
        <w:snapToGrid/>
        <w:textAlignment w:val="auto"/>
        <w:rPr>
          <w:rFonts w:hint="eastAsia" w:ascii="微软雅黑" w:hAnsi="微软雅黑" w:eastAsia="微软雅黑" w:cs="宋体"/>
          <w:kern w:val="0"/>
          <w:sz w:val="28"/>
          <w:szCs w:val="28"/>
          <w:lang w:val="en-US" w:eastAsia="zh-CN"/>
        </w:rPr>
      </w:pPr>
      <w:r>
        <w:rPr>
          <w:rFonts w:hint="eastAsia" w:ascii="微软雅黑" w:hAnsi="微软雅黑" w:eastAsia="微软雅黑" w:cs="宋体"/>
          <w:b/>
          <w:bCs/>
          <w:kern w:val="0"/>
          <w:sz w:val="28"/>
          <w:szCs w:val="28"/>
          <w:lang w:val="en-US" w:eastAsia="zh-CN"/>
        </w:rPr>
        <w:t>绿色节能装备：</w:t>
      </w:r>
      <w:r>
        <w:rPr>
          <w:rFonts w:hint="eastAsia" w:ascii="微软雅黑" w:hAnsi="微软雅黑" w:eastAsia="微软雅黑" w:cs="宋体"/>
          <w:kern w:val="0"/>
          <w:sz w:val="28"/>
          <w:szCs w:val="28"/>
          <w:lang w:val="en-US" w:eastAsia="zh-CN"/>
        </w:rPr>
        <w:t>太阳能板、LED节能灯具、节能空调、节能冰箱等。</w:t>
      </w:r>
    </w:p>
    <w:p w14:paraId="36A80D27">
      <w:pPr>
        <w:keepNext w:val="0"/>
        <w:keepLines w:val="0"/>
        <w:pageBreakBefore w:val="0"/>
        <w:widowControl w:val="0"/>
        <w:kinsoku/>
        <w:wordWrap/>
        <w:overflowPunct/>
        <w:topLinePunct w:val="0"/>
        <w:autoSpaceDE/>
        <w:autoSpaceDN/>
        <w:bidi w:val="0"/>
        <w:adjustRightInd/>
        <w:snapToGrid/>
        <w:textAlignment w:val="auto"/>
        <w:rPr>
          <w:rFonts w:hint="eastAsia" w:ascii="微软雅黑" w:hAnsi="微软雅黑" w:eastAsia="微软雅黑" w:cs="宋体"/>
          <w:b/>
          <w:bCs/>
          <w:kern w:val="0"/>
          <w:sz w:val="28"/>
          <w:szCs w:val="28"/>
          <w:lang w:val="en-US" w:eastAsia="zh-CN"/>
        </w:rPr>
      </w:pPr>
      <w:r>
        <w:rPr>
          <w:rFonts w:hint="eastAsia" w:ascii="微软雅黑" w:hAnsi="微软雅黑" w:eastAsia="微软雅黑" w:cs="宋体"/>
          <w:b/>
          <w:bCs/>
          <w:kern w:val="0"/>
          <w:sz w:val="28"/>
          <w:szCs w:val="28"/>
          <w:lang w:val="en-US" w:eastAsia="zh-CN"/>
        </w:rPr>
        <w:t>●家具，室内装饰及灯具</w:t>
      </w:r>
    </w:p>
    <w:p w14:paraId="7B572F2F">
      <w:pPr>
        <w:keepNext w:val="0"/>
        <w:keepLines w:val="0"/>
        <w:pageBreakBefore w:val="0"/>
        <w:widowControl w:val="0"/>
        <w:kinsoku/>
        <w:wordWrap/>
        <w:overflowPunct/>
        <w:topLinePunct w:val="0"/>
        <w:autoSpaceDE/>
        <w:autoSpaceDN/>
        <w:bidi w:val="0"/>
        <w:adjustRightInd/>
        <w:snapToGrid/>
        <w:textAlignment w:val="auto"/>
        <w:rPr>
          <w:rFonts w:hint="eastAsia" w:ascii="微软雅黑" w:hAnsi="微软雅黑" w:eastAsia="微软雅黑" w:cs="宋体"/>
          <w:kern w:val="0"/>
          <w:sz w:val="28"/>
          <w:szCs w:val="28"/>
          <w:lang w:val="en-US" w:eastAsia="zh-CN"/>
        </w:rPr>
      </w:pPr>
      <w:r>
        <w:rPr>
          <w:rFonts w:hint="eastAsia" w:ascii="微软雅黑" w:hAnsi="微软雅黑" w:eastAsia="微软雅黑" w:cs="宋体"/>
          <w:b/>
          <w:bCs/>
          <w:kern w:val="0"/>
          <w:sz w:val="28"/>
          <w:szCs w:val="28"/>
          <w:lang w:val="en-US" w:eastAsia="zh-CN"/>
        </w:rPr>
        <w:t>办公家具：</w:t>
      </w:r>
      <w:r>
        <w:rPr>
          <w:rFonts w:hint="eastAsia" w:ascii="微软雅黑" w:hAnsi="微软雅黑" w:eastAsia="微软雅黑" w:cs="宋体"/>
          <w:kern w:val="0"/>
          <w:sz w:val="28"/>
          <w:szCs w:val="28"/>
          <w:lang w:val="en-US" w:eastAsia="zh-CN"/>
        </w:rPr>
        <w:t>办公桌、办公椅、文件柜、书架、会议桌、接待台等；</w:t>
      </w:r>
    </w:p>
    <w:p w14:paraId="4E68AF5A">
      <w:pPr>
        <w:keepNext w:val="0"/>
        <w:keepLines w:val="0"/>
        <w:pageBreakBefore w:val="0"/>
        <w:widowControl w:val="0"/>
        <w:kinsoku/>
        <w:wordWrap/>
        <w:overflowPunct/>
        <w:topLinePunct w:val="0"/>
        <w:autoSpaceDE/>
        <w:autoSpaceDN/>
        <w:bidi w:val="0"/>
        <w:adjustRightInd/>
        <w:snapToGrid/>
        <w:textAlignment w:val="auto"/>
        <w:rPr>
          <w:rFonts w:hint="eastAsia" w:ascii="微软雅黑" w:hAnsi="微软雅黑" w:eastAsia="微软雅黑" w:cs="宋体"/>
          <w:kern w:val="0"/>
          <w:sz w:val="28"/>
          <w:szCs w:val="28"/>
          <w:lang w:val="en-US" w:eastAsia="zh-CN"/>
        </w:rPr>
      </w:pPr>
      <w:r>
        <w:rPr>
          <w:rFonts w:hint="eastAsia" w:ascii="微软雅黑" w:hAnsi="微软雅黑" w:eastAsia="微软雅黑" w:cs="宋体"/>
          <w:b/>
          <w:bCs/>
          <w:kern w:val="0"/>
          <w:sz w:val="28"/>
          <w:szCs w:val="28"/>
          <w:lang w:val="en-US" w:eastAsia="zh-CN"/>
        </w:rPr>
        <w:t>酒店家具：</w:t>
      </w:r>
      <w:r>
        <w:rPr>
          <w:rFonts w:hint="eastAsia" w:ascii="微软雅黑" w:hAnsi="微软雅黑" w:eastAsia="微软雅黑" w:cs="宋体"/>
          <w:kern w:val="0"/>
          <w:sz w:val="28"/>
          <w:szCs w:val="28"/>
          <w:lang w:val="en-US" w:eastAsia="zh-CN"/>
        </w:rPr>
        <w:t>酒店成套家具、酒店沙发、酒店桌椅、酒店用床、酒店屏风、电视柜、行李柜活动舞台、软床、酒店梳妆台、木门、木饰面等；</w:t>
      </w:r>
    </w:p>
    <w:p w14:paraId="464BBA8F">
      <w:pPr>
        <w:keepNext w:val="0"/>
        <w:keepLines w:val="0"/>
        <w:pageBreakBefore w:val="0"/>
        <w:widowControl w:val="0"/>
        <w:kinsoku/>
        <w:wordWrap/>
        <w:overflowPunct/>
        <w:topLinePunct w:val="0"/>
        <w:autoSpaceDE/>
        <w:autoSpaceDN/>
        <w:bidi w:val="0"/>
        <w:adjustRightInd/>
        <w:snapToGrid/>
        <w:textAlignment w:val="auto"/>
        <w:rPr>
          <w:rFonts w:hint="eastAsia" w:ascii="微软雅黑" w:hAnsi="微软雅黑" w:eastAsia="微软雅黑" w:cs="宋体"/>
          <w:kern w:val="0"/>
          <w:sz w:val="28"/>
          <w:szCs w:val="28"/>
          <w:lang w:val="en-US" w:eastAsia="zh-CN"/>
        </w:rPr>
      </w:pPr>
      <w:r>
        <w:rPr>
          <w:rFonts w:hint="eastAsia" w:ascii="微软雅黑" w:hAnsi="微软雅黑" w:eastAsia="微软雅黑" w:cs="宋体"/>
          <w:b/>
          <w:bCs/>
          <w:kern w:val="0"/>
          <w:sz w:val="28"/>
          <w:szCs w:val="28"/>
          <w:lang w:val="en-US" w:eastAsia="zh-CN"/>
        </w:rPr>
        <w:t>民用家具：</w:t>
      </w:r>
      <w:r>
        <w:rPr>
          <w:rFonts w:hint="eastAsia" w:ascii="微软雅黑" w:hAnsi="微软雅黑" w:eastAsia="微软雅黑" w:cs="宋体"/>
          <w:kern w:val="0"/>
          <w:sz w:val="28"/>
          <w:szCs w:val="28"/>
          <w:lang w:val="en-US" w:eastAsia="zh-CN"/>
        </w:rPr>
        <w:t>床、床头柜、化妆台、妆凳、衣柜、床尾凳、穿衣镜、沙发、茶几、边几(角几)、酒吧柜、餐桌、餐椅、酒柜、餐边柜、书柜、书桌、杂物架(书架)、杂志架、休闲椅、边几、洗手柜(台)、储物架、浴盆、毛巾架、浴巾架、橱柜、刀架、菜板、碗碟柜、储物架等；</w:t>
      </w:r>
    </w:p>
    <w:p w14:paraId="1C5E0E6E">
      <w:pPr>
        <w:keepNext w:val="0"/>
        <w:keepLines w:val="0"/>
        <w:pageBreakBefore w:val="0"/>
        <w:widowControl w:val="0"/>
        <w:kinsoku/>
        <w:wordWrap/>
        <w:overflowPunct/>
        <w:topLinePunct w:val="0"/>
        <w:autoSpaceDE/>
        <w:autoSpaceDN/>
        <w:bidi w:val="0"/>
        <w:adjustRightInd/>
        <w:snapToGrid/>
        <w:textAlignment w:val="auto"/>
        <w:rPr>
          <w:rFonts w:hint="eastAsia" w:ascii="微软雅黑" w:hAnsi="微软雅黑" w:eastAsia="微软雅黑" w:cs="宋体"/>
          <w:kern w:val="0"/>
          <w:sz w:val="28"/>
          <w:szCs w:val="28"/>
          <w:lang w:val="en-US" w:eastAsia="zh-CN"/>
        </w:rPr>
      </w:pPr>
      <w:r>
        <w:rPr>
          <w:rFonts w:hint="eastAsia" w:ascii="微软雅黑" w:hAnsi="微软雅黑" w:eastAsia="微软雅黑" w:cs="宋体"/>
          <w:b/>
          <w:bCs/>
          <w:kern w:val="0"/>
          <w:sz w:val="28"/>
          <w:szCs w:val="28"/>
          <w:lang w:val="en-US" w:eastAsia="zh-CN"/>
        </w:rPr>
        <w:t>户外家具：</w:t>
      </w:r>
      <w:r>
        <w:rPr>
          <w:rFonts w:hint="eastAsia" w:ascii="微软雅黑" w:hAnsi="微软雅黑" w:eastAsia="微软雅黑" w:cs="宋体"/>
          <w:kern w:val="0"/>
          <w:sz w:val="28"/>
          <w:szCs w:val="28"/>
          <w:lang w:val="en-US" w:eastAsia="zh-CN"/>
        </w:rPr>
        <w:t>遮阳伞、金属或木质桌、凳、休闲椅等(别墅院内或阳台、房顶、小院用的家具)；</w:t>
      </w:r>
    </w:p>
    <w:p w14:paraId="347B85EB">
      <w:pPr>
        <w:keepNext w:val="0"/>
        <w:keepLines w:val="0"/>
        <w:pageBreakBefore w:val="0"/>
        <w:widowControl w:val="0"/>
        <w:kinsoku/>
        <w:wordWrap/>
        <w:overflowPunct/>
        <w:topLinePunct w:val="0"/>
        <w:autoSpaceDE/>
        <w:autoSpaceDN/>
        <w:bidi w:val="0"/>
        <w:adjustRightInd/>
        <w:snapToGrid/>
        <w:textAlignment w:val="auto"/>
        <w:rPr>
          <w:rFonts w:hint="eastAsia" w:ascii="微软雅黑" w:hAnsi="微软雅黑" w:eastAsia="微软雅黑" w:cs="宋体"/>
          <w:kern w:val="0"/>
          <w:sz w:val="28"/>
          <w:szCs w:val="28"/>
          <w:lang w:val="en-US" w:eastAsia="zh-CN"/>
        </w:rPr>
      </w:pPr>
      <w:r>
        <w:rPr>
          <w:rFonts w:hint="eastAsia" w:ascii="微软雅黑" w:hAnsi="微软雅黑" w:eastAsia="微软雅黑" w:cs="宋体"/>
          <w:b/>
          <w:bCs/>
          <w:kern w:val="0"/>
          <w:sz w:val="28"/>
          <w:szCs w:val="28"/>
          <w:lang w:val="en-US" w:eastAsia="zh-CN"/>
        </w:rPr>
        <w:t>室内装饰品：</w:t>
      </w:r>
      <w:r>
        <w:rPr>
          <w:rFonts w:hint="eastAsia" w:ascii="微软雅黑" w:hAnsi="微软雅黑" w:eastAsia="微软雅黑" w:cs="宋体"/>
          <w:kern w:val="0"/>
          <w:sz w:val="28"/>
          <w:szCs w:val="28"/>
          <w:lang w:val="en-US" w:eastAsia="zh-CN"/>
        </w:rPr>
        <w:t>装饰类：窗帘，壁纸，桌布，软隔断，线帘；</w:t>
      </w:r>
    </w:p>
    <w:p w14:paraId="49371592">
      <w:pPr>
        <w:keepNext w:val="0"/>
        <w:keepLines w:val="0"/>
        <w:pageBreakBefore w:val="0"/>
        <w:widowControl w:val="0"/>
        <w:kinsoku/>
        <w:wordWrap/>
        <w:overflowPunct/>
        <w:topLinePunct w:val="0"/>
        <w:autoSpaceDE/>
        <w:autoSpaceDN/>
        <w:bidi w:val="0"/>
        <w:adjustRightInd/>
        <w:snapToGrid/>
        <w:textAlignment w:val="auto"/>
        <w:rPr>
          <w:rFonts w:hint="eastAsia" w:ascii="微软雅黑" w:hAnsi="微软雅黑" w:eastAsia="微软雅黑" w:cs="宋体"/>
          <w:kern w:val="0"/>
          <w:sz w:val="28"/>
          <w:szCs w:val="28"/>
          <w:lang w:val="en-US" w:eastAsia="zh-CN"/>
        </w:rPr>
      </w:pPr>
      <w:r>
        <w:rPr>
          <w:rFonts w:hint="eastAsia" w:ascii="微软雅黑" w:hAnsi="微软雅黑" w:eastAsia="微软雅黑" w:cs="宋体"/>
          <w:b/>
          <w:bCs/>
          <w:kern w:val="0"/>
          <w:sz w:val="28"/>
          <w:szCs w:val="28"/>
          <w:lang w:val="en-US" w:eastAsia="zh-CN"/>
        </w:rPr>
        <w:t>硬装饰：</w:t>
      </w:r>
      <w:r>
        <w:rPr>
          <w:rFonts w:hint="eastAsia" w:ascii="微软雅黑" w:hAnsi="微软雅黑" w:eastAsia="微软雅黑" w:cs="宋体"/>
          <w:kern w:val="0"/>
          <w:sz w:val="28"/>
          <w:szCs w:val="28"/>
          <w:lang w:val="en-US" w:eastAsia="zh-CN"/>
        </w:rPr>
        <w:t>花瓶，摆件，挂件，植物，隔板，挂画；</w:t>
      </w:r>
    </w:p>
    <w:p w14:paraId="2C301D24">
      <w:pPr>
        <w:keepNext w:val="0"/>
        <w:keepLines w:val="0"/>
        <w:pageBreakBefore w:val="0"/>
        <w:widowControl w:val="0"/>
        <w:kinsoku/>
        <w:wordWrap/>
        <w:overflowPunct/>
        <w:topLinePunct w:val="0"/>
        <w:autoSpaceDE/>
        <w:autoSpaceDN/>
        <w:bidi w:val="0"/>
        <w:adjustRightInd/>
        <w:snapToGrid/>
        <w:textAlignment w:val="auto"/>
        <w:rPr>
          <w:rFonts w:hint="eastAsia" w:ascii="微软雅黑" w:hAnsi="微软雅黑" w:eastAsia="微软雅黑" w:cs="宋体"/>
          <w:kern w:val="0"/>
          <w:sz w:val="28"/>
          <w:szCs w:val="28"/>
          <w:lang w:val="en-US" w:eastAsia="zh-CN"/>
        </w:rPr>
      </w:pPr>
      <w:r>
        <w:rPr>
          <w:rFonts w:hint="eastAsia" w:ascii="微软雅黑" w:hAnsi="微软雅黑" w:eastAsia="微软雅黑" w:cs="宋体"/>
          <w:b/>
          <w:bCs/>
          <w:kern w:val="0"/>
          <w:sz w:val="28"/>
          <w:szCs w:val="28"/>
          <w:lang w:val="en-US" w:eastAsia="zh-CN"/>
        </w:rPr>
        <w:t>灯具照明：</w:t>
      </w:r>
      <w:r>
        <w:rPr>
          <w:rFonts w:hint="eastAsia" w:ascii="微软雅黑" w:hAnsi="微软雅黑" w:eastAsia="微软雅黑" w:cs="宋体"/>
          <w:kern w:val="0"/>
          <w:sz w:val="28"/>
          <w:szCs w:val="28"/>
          <w:lang w:val="en-US" w:eastAsia="zh-CN"/>
        </w:rPr>
        <w:t>顶灯、吊灯、简灯、射灯、壁灯、磁吸轨道灯、地脚灯、落地灯、线性灯。</w:t>
      </w:r>
    </w:p>
    <w:p w14:paraId="35A2299D">
      <w:pPr>
        <w:keepNext w:val="0"/>
        <w:keepLines w:val="0"/>
        <w:pageBreakBefore w:val="0"/>
        <w:widowControl w:val="0"/>
        <w:kinsoku/>
        <w:wordWrap/>
        <w:overflowPunct/>
        <w:topLinePunct w:val="0"/>
        <w:autoSpaceDE/>
        <w:autoSpaceDN/>
        <w:bidi w:val="0"/>
        <w:adjustRightInd/>
        <w:snapToGrid/>
        <w:textAlignment w:val="auto"/>
        <w:rPr>
          <w:rFonts w:hint="eastAsia" w:ascii="微软雅黑" w:hAnsi="微软雅黑" w:eastAsia="微软雅黑" w:cs="宋体"/>
          <w:b/>
          <w:bCs/>
          <w:kern w:val="0"/>
          <w:sz w:val="28"/>
          <w:szCs w:val="28"/>
          <w:lang w:val="en-US" w:eastAsia="zh-CN"/>
        </w:rPr>
      </w:pPr>
      <w:r>
        <w:rPr>
          <w:rFonts w:hint="eastAsia" w:ascii="微软雅黑" w:hAnsi="微软雅黑" w:eastAsia="微软雅黑" w:cs="宋体"/>
          <w:b/>
          <w:bCs/>
          <w:kern w:val="0"/>
          <w:sz w:val="28"/>
          <w:szCs w:val="28"/>
          <w:lang w:val="en-US" w:eastAsia="zh-CN"/>
        </w:rPr>
        <w:t>●消费电子及日用品</w:t>
      </w:r>
    </w:p>
    <w:p w14:paraId="02651DB9">
      <w:pPr>
        <w:keepNext w:val="0"/>
        <w:keepLines w:val="0"/>
        <w:pageBreakBefore w:val="0"/>
        <w:widowControl w:val="0"/>
        <w:kinsoku/>
        <w:wordWrap/>
        <w:overflowPunct/>
        <w:topLinePunct w:val="0"/>
        <w:autoSpaceDE/>
        <w:autoSpaceDN/>
        <w:bidi w:val="0"/>
        <w:adjustRightInd/>
        <w:snapToGrid/>
        <w:textAlignment w:val="auto"/>
        <w:rPr>
          <w:rFonts w:hint="eastAsia" w:ascii="微软雅黑" w:hAnsi="微软雅黑" w:eastAsia="微软雅黑" w:cs="宋体"/>
          <w:kern w:val="0"/>
          <w:sz w:val="28"/>
          <w:szCs w:val="28"/>
          <w:lang w:val="en-US" w:eastAsia="zh-CN"/>
        </w:rPr>
      </w:pPr>
      <w:r>
        <w:rPr>
          <w:rFonts w:hint="eastAsia" w:ascii="微软雅黑" w:hAnsi="微软雅黑" w:eastAsia="微软雅黑" w:cs="宋体"/>
          <w:b/>
          <w:bCs/>
          <w:kern w:val="0"/>
          <w:sz w:val="28"/>
          <w:szCs w:val="28"/>
          <w:lang w:val="en-US" w:eastAsia="zh-CN"/>
        </w:rPr>
        <w:t>消费电子：</w:t>
      </w:r>
      <w:r>
        <w:rPr>
          <w:rFonts w:hint="eastAsia" w:ascii="微软雅黑" w:hAnsi="微软雅黑" w:eastAsia="微软雅黑" w:cs="宋体"/>
          <w:kern w:val="0"/>
          <w:sz w:val="28"/>
          <w:szCs w:val="28"/>
          <w:lang w:val="en-US" w:eastAsia="zh-CN"/>
        </w:rPr>
        <w:t>电视机、影碟机(VCD、SVCD、DVD)、录像机、摄录机、收音机、收录机、组合音响、电唱机、激光唱机(CD),电话、个人电脑、家庭办公设备、家用电子保健设备、汽车电子产品等等；</w:t>
      </w:r>
    </w:p>
    <w:p w14:paraId="5D01D4A6">
      <w:pPr>
        <w:keepNext w:val="0"/>
        <w:keepLines w:val="0"/>
        <w:pageBreakBefore w:val="0"/>
        <w:widowControl w:val="0"/>
        <w:kinsoku/>
        <w:wordWrap/>
        <w:overflowPunct/>
        <w:topLinePunct w:val="0"/>
        <w:autoSpaceDE/>
        <w:autoSpaceDN/>
        <w:bidi w:val="0"/>
        <w:adjustRightInd/>
        <w:snapToGrid/>
        <w:textAlignment w:val="auto"/>
        <w:rPr>
          <w:rFonts w:hint="eastAsia" w:ascii="微软雅黑" w:hAnsi="微软雅黑" w:eastAsia="微软雅黑" w:cs="宋体"/>
          <w:kern w:val="0"/>
          <w:sz w:val="28"/>
          <w:szCs w:val="28"/>
          <w:lang w:val="en-US" w:eastAsia="zh-CN"/>
        </w:rPr>
      </w:pPr>
      <w:r>
        <w:rPr>
          <w:rFonts w:hint="eastAsia" w:ascii="微软雅黑" w:hAnsi="微软雅黑" w:eastAsia="微软雅黑" w:cs="宋体"/>
          <w:b/>
          <w:bCs/>
          <w:kern w:val="0"/>
          <w:sz w:val="28"/>
          <w:szCs w:val="28"/>
          <w:lang w:val="en-US" w:eastAsia="zh-CN"/>
        </w:rPr>
        <w:t>日用塑料制品：</w:t>
      </w:r>
      <w:r>
        <w:rPr>
          <w:rFonts w:hint="eastAsia" w:ascii="微软雅黑" w:hAnsi="微软雅黑" w:eastAsia="微软雅黑" w:cs="宋体"/>
          <w:kern w:val="0"/>
          <w:sz w:val="28"/>
          <w:szCs w:val="28"/>
          <w:lang w:val="en-US" w:eastAsia="zh-CN"/>
        </w:rPr>
        <w:t>收纳箱、凳子、椅子、刷子、衣架、水桶、口杯、脸盆、密封罐、垃圾桶、真空压缩袋、花盆、喷雾器、皂盒、衣叉；</w:t>
      </w:r>
    </w:p>
    <w:p w14:paraId="525FB665">
      <w:pPr>
        <w:keepNext w:val="0"/>
        <w:keepLines w:val="0"/>
        <w:pageBreakBefore w:val="0"/>
        <w:widowControl w:val="0"/>
        <w:kinsoku/>
        <w:wordWrap/>
        <w:overflowPunct/>
        <w:topLinePunct w:val="0"/>
        <w:autoSpaceDE/>
        <w:autoSpaceDN/>
        <w:bidi w:val="0"/>
        <w:adjustRightInd/>
        <w:snapToGrid/>
        <w:textAlignment w:val="auto"/>
        <w:rPr>
          <w:rFonts w:hint="eastAsia" w:ascii="微软雅黑" w:hAnsi="微软雅黑" w:eastAsia="微软雅黑" w:cs="宋体"/>
          <w:kern w:val="0"/>
          <w:sz w:val="28"/>
          <w:szCs w:val="28"/>
          <w:lang w:val="en-US" w:eastAsia="zh-CN"/>
        </w:rPr>
      </w:pPr>
      <w:r>
        <w:rPr>
          <w:rFonts w:hint="eastAsia" w:ascii="微软雅黑" w:hAnsi="微软雅黑" w:eastAsia="微软雅黑" w:cs="宋体"/>
          <w:b/>
          <w:bCs/>
          <w:kern w:val="0"/>
          <w:sz w:val="28"/>
          <w:szCs w:val="28"/>
          <w:lang w:val="en-US" w:eastAsia="zh-CN"/>
        </w:rPr>
        <w:t>日用清洁用品：</w:t>
      </w:r>
      <w:r>
        <w:rPr>
          <w:rFonts w:hint="eastAsia" w:ascii="微软雅黑" w:hAnsi="微软雅黑" w:eastAsia="微软雅黑" w:cs="宋体"/>
          <w:kern w:val="0"/>
          <w:sz w:val="28"/>
          <w:szCs w:val="28"/>
          <w:lang w:val="en-US" w:eastAsia="zh-CN"/>
        </w:rPr>
        <w:t>胶棉拖、好神拖、平板拖、扫把簸箕套装、垃圾桶、手套、百洁布、清洁球、海绵擦、玻璃擦、雪尼尔、马桶垫/刷；</w:t>
      </w:r>
    </w:p>
    <w:p w14:paraId="265394E5">
      <w:pPr>
        <w:keepNext w:val="0"/>
        <w:keepLines w:val="0"/>
        <w:pageBreakBefore w:val="0"/>
        <w:widowControl w:val="0"/>
        <w:kinsoku/>
        <w:wordWrap/>
        <w:overflowPunct/>
        <w:topLinePunct w:val="0"/>
        <w:autoSpaceDE/>
        <w:autoSpaceDN/>
        <w:bidi w:val="0"/>
        <w:adjustRightInd/>
        <w:snapToGrid/>
        <w:textAlignment w:val="auto"/>
        <w:rPr>
          <w:rFonts w:hint="eastAsia" w:ascii="微软雅黑" w:hAnsi="微软雅黑" w:eastAsia="微软雅黑" w:cs="宋体"/>
          <w:kern w:val="0"/>
          <w:sz w:val="28"/>
          <w:szCs w:val="28"/>
          <w:lang w:val="en-US" w:eastAsia="zh-CN"/>
        </w:rPr>
      </w:pPr>
      <w:r>
        <w:rPr>
          <w:rFonts w:hint="eastAsia" w:ascii="微软雅黑" w:hAnsi="微软雅黑" w:eastAsia="微软雅黑" w:cs="宋体"/>
          <w:b/>
          <w:bCs/>
          <w:kern w:val="0"/>
          <w:sz w:val="28"/>
          <w:szCs w:val="28"/>
          <w:lang w:val="en-US" w:eastAsia="zh-CN"/>
        </w:rPr>
        <w:t>厨房用品：</w:t>
      </w:r>
      <w:r>
        <w:rPr>
          <w:rFonts w:hint="eastAsia" w:ascii="微软雅黑" w:hAnsi="微软雅黑" w:eastAsia="微软雅黑" w:cs="宋体"/>
          <w:kern w:val="0"/>
          <w:sz w:val="28"/>
          <w:szCs w:val="28"/>
          <w:lang w:val="en-US" w:eastAsia="zh-CN"/>
        </w:rPr>
        <w:t>炒锅、炊具、刀剪、洗菜篮、打蛋器、切菜器、碗碟架、挂篮、油壶、调味瓶、锅铲、漏勺、开瓶器、磨刀器、料理器、厨房小工具、玻璃餐具、储物罐、玻璃水杯、酒杯、玻璃花盆、花瓶、烟灰缸、烛台、水壶、水具、密封罐、保鲜盒；</w:t>
      </w:r>
    </w:p>
    <w:p w14:paraId="237B8B1D">
      <w:pPr>
        <w:keepNext w:val="0"/>
        <w:keepLines w:val="0"/>
        <w:pageBreakBefore w:val="0"/>
        <w:widowControl w:val="0"/>
        <w:kinsoku/>
        <w:wordWrap/>
        <w:overflowPunct/>
        <w:topLinePunct w:val="0"/>
        <w:autoSpaceDE/>
        <w:autoSpaceDN/>
        <w:bidi w:val="0"/>
        <w:adjustRightInd/>
        <w:snapToGrid/>
        <w:textAlignment w:val="auto"/>
        <w:rPr>
          <w:rFonts w:hint="eastAsia" w:ascii="微软雅黑" w:hAnsi="微软雅黑" w:eastAsia="微软雅黑" w:cs="宋体"/>
          <w:kern w:val="0"/>
          <w:sz w:val="28"/>
          <w:szCs w:val="28"/>
          <w:lang w:val="en-US" w:eastAsia="zh-CN"/>
        </w:rPr>
      </w:pPr>
      <w:r>
        <w:rPr>
          <w:rFonts w:hint="eastAsia" w:ascii="微软雅黑" w:hAnsi="微软雅黑" w:eastAsia="微软雅黑" w:cs="宋体"/>
          <w:b/>
          <w:bCs/>
          <w:kern w:val="0"/>
          <w:sz w:val="28"/>
          <w:szCs w:val="28"/>
          <w:lang w:val="en-US" w:eastAsia="zh-CN"/>
        </w:rPr>
        <w:t>一次性用品：</w:t>
      </w:r>
      <w:r>
        <w:rPr>
          <w:rFonts w:hint="eastAsia" w:ascii="微软雅黑" w:hAnsi="微软雅黑" w:eastAsia="微软雅黑" w:cs="宋体"/>
          <w:kern w:val="0"/>
          <w:sz w:val="28"/>
          <w:szCs w:val="28"/>
          <w:lang w:val="en-US" w:eastAsia="zh-CN"/>
        </w:rPr>
        <w:t>保鲜膜、垃圾袋、水晶杯、碗、吸管、棉签、台布、快餐盒、打包盒、鞋套；</w:t>
      </w:r>
    </w:p>
    <w:p w14:paraId="79432EFA">
      <w:pPr>
        <w:keepNext w:val="0"/>
        <w:keepLines w:val="0"/>
        <w:pageBreakBefore w:val="0"/>
        <w:widowControl w:val="0"/>
        <w:kinsoku/>
        <w:wordWrap/>
        <w:overflowPunct/>
        <w:topLinePunct w:val="0"/>
        <w:autoSpaceDE/>
        <w:autoSpaceDN/>
        <w:bidi w:val="0"/>
        <w:adjustRightInd/>
        <w:snapToGrid/>
        <w:textAlignment w:val="auto"/>
        <w:rPr>
          <w:rFonts w:hint="eastAsia" w:ascii="微软雅黑" w:hAnsi="微软雅黑" w:eastAsia="微软雅黑" w:cs="宋体"/>
          <w:kern w:val="0"/>
          <w:sz w:val="28"/>
          <w:szCs w:val="28"/>
          <w:lang w:val="en-US" w:eastAsia="zh-CN"/>
        </w:rPr>
      </w:pPr>
      <w:r>
        <w:rPr>
          <w:rFonts w:hint="eastAsia" w:ascii="微软雅黑" w:hAnsi="微软雅黑" w:eastAsia="微软雅黑" w:cs="宋体"/>
          <w:b/>
          <w:bCs/>
          <w:kern w:val="0"/>
          <w:sz w:val="28"/>
          <w:szCs w:val="28"/>
          <w:lang w:val="en-US" w:eastAsia="zh-CN"/>
        </w:rPr>
        <w:t>浴室用品：</w:t>
      </w:r>
      <w:r>
        <w:rPr>
          <w:rFonts w:hint="eastAsia" w:ascii="微软雅黑" w:hAnsi="微软雅黑" w:eastAsia="微软雅黑" w:cs="宋体"/>
          <w:kern w:val="0"/>
          <w:sz w:val="28"/>
          <w:szCs w:val="28"/>
          <w:lang w:val="en-US" w:eastAsia="zh-CN"/>
        </w:rPr>
        <w:t>沐浴球、吸盘置物架、防滑垫、马桶垫、浴帽、吸水毛巾、澡巾、化妆包；</w:t>
      </w:r>
    </w:p>
    <w:p w14:paraId="7FE955CD">
      <w:pPr>
        <w:keepNext w:val="0"/>
        <w:keepLines w:val="0"/>
        <w:pageBreakBefore w:val="0"/>
        <w:widowControl w:val="0"/>
        <w:kinsoku/>
        <w:wordWrap/>
        <w:overflowPunct/>
        <w:topLinePunct w:val="0"/>
        <w:autoSpaceDE/>
        <w:autoSpaceDN/>
        <w:bidi w:val="0"/>
        <w:adjustRightInd/>
        <w:snapToGrid/>
        <w:textAlignment w:val="auto"/>
        <w:rPr>
          <w:rFonts w:hint="default" w:ascii="微软雅黑" w:hAnsi="微软雅黑" w:eastAsia="微软雅黑" w:cs="微软雅黑"/>
          <w:b/>
          <w:bCs/>
          <w:sz w:val="40"/>
          <w:szCs w:val="40"/>
          <w:lang w:val="en-US" w:eastAsia="zh-CN"/>
        </w:rPr>
      </w:pPr>
      <w:r>
        <w:rPr>
          <w:rFonts w:hint="eastAsia" w:ascii="微软雅黑" w:hAnsi="微软雅黑" w:eastAsia="微软雅黑" w:cs="宋体"/>
          <w:b/>
          <w:bCs/>
          <w:kern w:val="0"/>
          <w:sz w:val="28"/>
          <w:szCs w:val="28"/>
          <w:lang w:val="en-US" w:eastAsia="zh-CN"/>
        </w:rPr>
        <w:t>日化用品：</w:t>
      </w:r>
      <w:r>
        <w:rPr>
          <w:rFonts w:hint="eastAsia" w:ascii="微软雅黑" w:hAnsi="微软雅黑" w:eastAsia="微软雅黑" w:cs="宋体"/>
          <w:kern w:val="0"/>
          <w:sz w:val="28"/>
          <w:szCs w:val="28"/>
          <w:lang w:val="en-US" w:eastAsia="zh-CN"/>
        </w:rPr>
        <w:t>清新剂、清洁剂、洗衣液、牙刷、牙膏、蚊香、鞋油、沐浴露，洗发水。</w:t>
      </w:r>
    </w:p>
    <w:sectPr>
      <w:pgSz w:w="11906" w:h="16838"/>
      <w:pgMar w:top="567" w:right="850" w:bottom="567" w:left="85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IwZTUyNjZlMWNiZTRhYWQ0OWNkYjI5YjM0NGI4NGUifQ=="/>
  </w:docVars>
  <w:rsids>
    <w:rsidRoot w:val="00000000"/>
    <w:rsid w:val="05334C8F"/>
    <w:rsid w:val="06E13031"/>
    <w:rsid w:val="07482769"/>
    <w:rsid w:val="07A96A03"/>
    <w:rsid w:val="0B365CE9"/>
    <w:rsid w:val="0B7C0C84"/>
    <w:rsid w:val="0F2C7498"/>
    <w:rsid w:val="10275772"/>
    <w:rsid w:val="14077076"/>
    <w:rsid w:val="16D15771"/>
    <w:rsid w:val="1A2E36BB"/>
    <w:rsid w:val="1A3026CC"/>
    <w:rsid w:val="205D622D"/>
    <w:rsid w:val="218477E9"/>
    <w:rsid w:val="229C69EC"/>
    <w:rsid w:val="27F020EA"/>
    <w:rsid w:val="285A00B1"/>
    <w:rsid w:val="2BDF4C1A"/>
    <w:rsid w:val="2EDF5ABE"/>
    <w:rsid w:val="2F350E04"/>
    <w:rsid w:val="2F4810FE"/>
    <w:rsid w:val="305C7E67"/>
    <w:rsid w:val="33B66A49"/>
    <w:rsid w:val="3445641A"/>
    <w:rsid w:val="346C3845"/>
    <w:rsid w:val="34FA3C8E"/>
    <w:rsid w:val="361246FC"/>
    <w:rsid w:val="380D6CBB"/>
    <w:rsid w:val="4E395334"/>
    <w:rsid w:val="51E41418"/>
    <w:rsid w:val="538F717E"/>
    <w:rsid w:val="56C567F4"/>
    <w:rsid w:val="5AFB2065"/>
    <w:rsid w:val="5BDC51D4"/>
    <w:rsid w:val="5CD94967"/>
    <w:rsid w:val="5E007B96"/>
    <w:rsid w:val="600D4872"/>
    <w:rsid w:val="62806114"/>
    <w:rsid w:val="649D3094"/>
    <w:rsid w:val="652142E4"/>
    <w:rsid w:val="674F3164"/>
    <w:rsid w:val="683242A3"/>
    <w:rsid w:val="6AE36F0E"/>
    <w:rsid w:val="6B1D124B"/>
    <w:rsid w:val="6FD967A8"/>
    <w:rsid w:val="703F2826"/>
    <w:rsid w:val="718C5C01"/>
    <w:rsid w:val="729C02BF"/>
    <w:rsid w:val="759C0500"/>
    <w:rsid w:val="785B2CA1"/>
    <w:rsid w:val="79164AAE"/>
    <w:rsid w:val="7DC461FF"/>
    <w:rsid w:val="7DC74D3B"/>
    <w:rsid w:val="7F9636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微软雅黑" w:hAnsi="微软雅黑" w:eastAsia="微软雅黑" w:cs="微软雅黑"/>
      <w:sz w:val="21"/>
      <w:szCs w:val="21"/>
      <w:lang w:val="en-US" w:eastAsia="en-US" w:bidi="ar-SA"/>
    </w:rPr>
  </w:style>
  <w:style w:type="paragraph" w:styleId="3">
    <w:name w:val="Normal (Web)"/>
    <w:basedOn w:val="1"/>
    <w:autoRedefine/>
    <w:qFormat/>
    <w:uiPriority w:val="0"/>
    <w:pPr>
      <w:spacing w:before="0" w:beforeAutospacing="1" w:after="0" w:afterAutospacing="1"/>
      <w:ind w:left="0" w:right="0"/>
      <w:jc w:val="left"/>
    </w:pPr>
    <w:rPr>
      <w:kern w:val="0"/>
      <w:sz w:val="24"/>
      <w:lang w:val="en-US" w:eastAsia="zh-CN" w:bidi="ar"/>
    </w:rPr>
  </w:style>
  <w:style w:type="character" w:styleId="6">
    <w:name w:val="Strong"/>
    <w:basedOn w:val="5"/>
    <w:autoRedefine/>
    <w:qFormat/>
    <w:uiPriority w:val="0"/>
    <w:rPr>
      <w:b/>
    </w:rPr>
  </w:style>
  <w:style w:type="character" w:styleId="7">
    <w:name w:val="Hyperlink"/>
    <w:basedOn w:val="5"/>
    <w:autoRedefine/>
    <w:qFormat/>
    <w:uiPriority w:val="0"/>
    <w:rPr>
      <w:color w:val="0000FF"/>
      <w:u w:val="single"/>
    </w:rPr>
  </w:style>
  <w:style w:type="table" w:customStyle="1" w:styleId="8">
    <w:name w:val="Table Normal"/>
    <w:autoRedefine/>
    <w:semiHidden/>
    <w:unhideWhenUsed/>
    <w:qFormat/>
    <w:uiPriority w:val="0"/>
    <w:tblPr>
      <w:tblCellMar>
        <w:top w:w="0" w:type="dxa"/>
        <w:left w:w="0" w:type="dxa"/>
        <w:bottom w:w="0" w:type="dxa"/>
        <w:right w:w="0" w:type="dxa"/>
      </w:tblCellMar>
    </w:tblPr>
  </w:style>
  <w:style w:type="paragraph" w:styleId="9">
    <w:name w:val="List Paragraph"/>
    <w:basedOn w:val="1"/>
    <w:autoRedefine/>
    <w:qFormat/>
    <w:uiPriority w:val="34"/>
    <w:pPr>
      <w:ind w:firstLine="420" w:firstLineChars="200"/>
    </w:pPr>
  </w:style>
  <w:style w:type="character" w:customStyle="1" w:styleId="10">
    <w:name w:val="font11"/>
    <w:basedOn w:val="5"/>
    <w:autoRedefine/>
    <w:qFormat/>
    <w:uiPriority w:val="0"/>
    <w:rPr>
      <w:rFonts w:hint="eastAsia" w:ascii="微软雅黑" w:hAnsi="微软雅黑" w:eastAsia="微软雅黑" w:cs="微软雅黑"/>
      <w:color w:val="000000"/>
      <w:sz w:val="22"/>
      <w:szCs w:val="22"/>
      <w:u w:val="none"/>
    </w:rPr>
  </w:style>
  <w:style w:type="character" w:customStyle="1" w:styleId="11">
    <w:name w:val="wdyuqq"/>
    <w:basedOn w:val="5"/>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1949</Words>
  <Characters>2141</Characters>
  <Lines>0</Lines>
  <Paragraphs>0</Paragraphs>
  <TotalTime>9</TotalTime>
  <ScaleCrop>false</ScaleCrop>
  <LinksUpToDate>false</LinksUpToDate>
  <CharactersWithSpaces>2183</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2023-09-28T00:45:00Z</dcterms:created>
  <dc:creator>admin</dc:creator>
  <cp:lastModifiedBy>WPS_1699857115</cp:lastModifiedBy>
  <dcterms:modified xsi:type="dcterms:W3CDTF">2024-08-05T03:12:26Z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D587F0D87A854DE6A7F81288F7E8A489_12</vt:lpwstr>
  </property>
</Properties>
</file>