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26835" cy="2856865"/>
            <wp:effectExtent l="0" t="0" r="12065" b="635"/>
            <wp:docPr id="4" name="图片 4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7141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  <w:t>2024年中东楼宇设施及物业管理装备</w:t>
      </w:r>
    </w:p>
    <w:p>
      <w:pPr>
        <w:jc w:val="center"/>
        <w:rPr>
          <w:rFonts w:hint="default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  <w:t>展览会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drawing>
          <wp:inline distT="0" distB="0" distL="114300" distR="114300">
            <wp:extent cx="1810385" cy="535940"/>
            <wp:effectExtent l="0" t="0" r="18415" b="16510"/>
            <wp:docPr id="3" name="图片 3" descr="E:/李姗/MIE/招展资料—改后/2024.11-12/11.26-28 中东楼宇设施及物业管理装备展览会Future FM/QQ截图20240524140959.pngQQ截图2024052414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李姗/MIE/招展资料—改后/2024.11-12/11.26-28 中东楼宇设施及物业管理装备展览会Future FM/QQ截图20240524140959.pngQQ截图20240524140959"/>
                    <pic:cNvPicPr>
                      <a:picLocks noChangeAspect="1"/>
                    </pic:cNvPicPr>
                  </pic:nvPicPr>
                  <pic:blipFill>
                    <a:blip r:embed="rId5"/>
                    <a:srcRect t="10382" b="10382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>
      <w:pPr>
        <w:pStyle w:val="6"/>
        <w:tabs>
          <w:tab w:val="left" w:pos="5880"/>
        </w:tabs>
        <w:spacing w:before="159" w:line="187" w:lineRule="auto"/>
        <w:ind w:left="169"/>
        <w:jc w:val="left"/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展会时间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2024年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11月26-28日    </w:t>
      </w:r>
      <w:r>
        <w:rPr>
          <w:b/>
          <w:bCs/>
          <w:color w:val="050E17"/>
          <w:spacing w:val="9"/>
          <w:sz w:val="28"/>
          <w:szCs w:val="28"/>
        </w:rPr>
        <w:t>展会地点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迪拜世贸中心</w:t>
      </w:r>
    </w:p>
    <w:p>
      <w:pPr>
        <w:pStyle w:val="6"/>
        <w:tabs>
          <w:tab w:val="left" w:pos="5880"/>
        </w:tabs>
        <w:spacing w:before="159" w:line="187" w:lineRule="auto"/>
        <w:ind w:left="169"/>
        <w:jc w:val="left"/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主办单位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DMG                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ab/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展会类型：建筑建材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position w:val="-6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243205</wp:posOffset>
            </wp:positionV>
            <wp:extent cx="6416675" cy="2728595"/>
            <wp:effectExtent l="0" t="0" r="3175" b="14605"/>
            <wp:wrapTopAndBottom/>
            <wp:docPr id="6" name="IM 6" descr="E:/李姗/MIE/图片.png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E:/李姗/MIE/图片.png图片"/>
                    <pic:cNvPicPr/>
                  </pic:nvPicPr>
                  <pic:blipFill>
                    <a:blip r:embed="rId6"/>
                    <a:srcRect t="25141" b="25141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中东楼宇设施及物业管理装备展览会（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Future FM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）由DMG events主办，DMG events的业务遍及20多个国家，每年举办90多场活动，是国际知名的展览主办方。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借助Future FM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这个平台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，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参展商可以向来自中东、非洲、南亚及其他地区的专业人士展示企业品牌 ，与采购商进行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面对面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沟通，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通过挖掘买家需求来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制定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有针对性的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外贸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战略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，从而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扩展业务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范围，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增加销售额和市场份额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中东楼宇设施及物业管理装备展览会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（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Future FM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）将于2024年11月26-28日在迪拜世贸中心盛大开幕。展会将设置行业峰会和主题讲座，为专业人士提供了解行业新趋势的绝佳途径。本次展会预计将有来自全球各国的500家展商参展，参展商人数将达到15,000人次。展会同期将举办中东迪拜智慧城市建设展（LiveableCitiesX）和中东国际地理测绘和遥感技术装备展（GEO WORLD）。</w:t>
      </w:r>
    </w:p>
    <w:tbl>
      <w:tblPr>
        <w:tblStyle w:val="11"/>
        <w:tblpPr w:leftFromText="180" w:rightFromText="180" w:vertAnchor="text" w:horzAnchor="page" w:tblpXSpec="center" w:tblpY="137"/>
        <w:tblOverlap w:val="never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top"/>
          </w:tcPr>
          <w:p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top"/>
          </w:tcPr>
          <w:p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top"/>
          </w:tcPr>
          <w:p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top"/>
          </w:tcPr>
          <w:p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500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15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419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50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20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position w:val="-71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10"/>
          <w:szCs w:val="10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inline distT="0" distB="0" distL="114300" distR="114300">
            <wp:extent cx="6415405" cy="2728595"/>
            <wp:effectExtent l="0" t="0" r="4445" b="14605"/>
            <wp:docPr id="5" name="图片 5" descr="E:/李姗/MIE/招展资料—改后/2024.11-12/11.26-28 中东楼宇设施及物业管理装备展览会Future FM/sector-03.jpgsector-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李姗/MIE/招展资料—改后/2024.11-12/11.26-28 中东楼宇设施及物业管理装备展览会Future FM/sector-03.jpgsector-03"/>
                    <pic:cNvPicPr/>
                  </pic:nvPicPr>
                  <pic:blipFill>
                    <a:blip r:embed="rId7"/>
                    <a:srcRect t="18074" b="18074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中东、非洲及南亚（MEASA）地区正迎来设施管理（FM）服务需求的显著增长浪潮。这一显著的增长态势主要源于区域内大量涌现的建筑、基础设施和能源项目，为企业提供了极具吸引力的商业机会和广阔的市场空间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数据显示，2024年，中东非地区设施管理市场规模将达到537.3亿美元，到2029年将达到745.9亿美元，预测期内复合年增长率6.78%。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•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中东和北非地区的建筑业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持续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表现出强劲势头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：在建管道项目规模高达6.75万亿美元，计划管道建设项目规模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3万亿美元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•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迪拜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一项耗资高达80亿美元的改造计划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预计在2030年完成，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这一计划旨在通过减少能源和水的消耗来实现翻新并提升超过3万栋建筑物的效率和可持续性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。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随着该地区更多建筑物的建成和成熟，预计未来的改造项目将会持续扩大其规模和影响力。这一举措不仅将促进迪拜的绿色发展，也将为整个地区树立可持续建筑改造的典范。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•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预计到2030年，沙特的综合设施管理服务市场规模将达到872.16亿美元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，复合年增长率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11.1%。这一增长趋势是沙特2030年愿景计划的重要部分，旨在通过推进1500个大型项目，推动房地产和基础设施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建设，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总投资额1.1万亿美元。这些举措不仅将极大地推动沙特的经济增长，还将为其可持续发展和城市建设奠定坚实基础。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•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预计在未来几年内，埃及的设施管理市场将以6.33%的复合年增长率持续扩张。从2024年的22.5亿美元增长到</w:t>
      </w:r>
      <w:r>
        <w:rPr>
          <w:rFonts w:hint="default" w:ascii="微软雅黑" w:hAnsi="微软雅黑" w:eastAsia="微软雅黑"/>
          <w:sz w:val="28"/>
          <w:szCs w:val="28"/>
          <w:lang w:eastAsia="zh-CN"/>
        </w:rPr>
        <w:t>2029年的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30.6亿美元。随着</w:t>
      </w:r>
      <w:r>
        <w:rPr>
          <w:rFonts w:hint="default" w:ascii="微软雅黑" w:hAnsi="微软雅黑" w:eastAsia="微软雅黑"/>
          <w:sz w:val="28"/>
          <w:szCs w:val="28"/>
          <w:lang w:eastAsia="zh-CN"/>
        </w:rPr>
        <w:t>埃及政府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对基础设施建设的持续投入和推动，设施管理市场有望实现更加繁荣的发展。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•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非洲的</w:t>
      </w:r>
      <w:r>
        <w:rPr>
          <w:rFonts w:hint="default" w:ascii="微软雅黑" w:hAnsi="微软雅黑" w:eastAsia="微软雅黑"/>
          <w:sz w:val="28"/>
          <w:szCs w:val="28"/>
          <w:lang w:eastAsia="zh-CN"/>
        </w:rPr>
        <w:t>农业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市场预计将以6.06%的复合年增长率</w:t>
      </w:r>
      <w:r>
        <w:rPr>
          <w:rFonts w:hint="default" w:ascii="微软雅黑" w:hAnsi="微软雅黑" w:eastAsia="微软雅黑"/>
          <w:sz w:val="28"/>
          <w:szCs w:val="28"/>
          <w:lang w:eastAsia="zh-CN"/>
        </w:rPr>
        <w:t>持续上升。非洲基金管理市场将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从2024年的272.1亿美元稳步提升至2029年的365.2亿美元。这一显著增长主要得益于第三方投资、基础设施建设的加强以及私营部门支出的增加。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eastAsia="zh-CN"/>
        </w:rPr>
        <w:t>参加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Future FM</w:t>
      </w:r>
      <w:r>
        <w:rPr>
          <w:rFonts w:hint="default" w:ascii="微软雅黑" w:hAnsi="微软雅黑" w:eastAsia="微软雅黑"/>
          <w:sz w:val="28"/>
          <w:szCs w:val="28"/>
          <w:lang w:eastAsia="zh-CN"/>
        </w:rPr>
        <w:t>，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借助阿联酋的战略位置，能够轻松进入并覆盖整个MEASA区域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。无论是寻找新的合作伙伴，还是拓展市场份额，本次展会都将为您提供一个绝佳的平台。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40"/>
          <w:szCs w:val="40"/>
          <w:lang w:val="en-US" w:eastAsia="zh-CN"/>
        </w:rPr>
        <w:t>招展范围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position w:val="-71"/>
        </w:rPr>
        <w:drawing>
          <wp:inline distT="0" distB="0" distL="0" distR="0">
            <wp:extent cx="6468110" cy="2728595"/>
            <wp:effectExtent l="0" t="0" r="8890" b="14605"/>
            <wp:docPr id="8" name="IM 8" descr="E:/李姗/MIE/招展资料—改后/2024.11-12/11.26-28 中东楼宇设施及物业管理装备展览会Future FM/1.pn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E:/李姗/MIE/招展资料—改后/2024.11-12/11.26-28 中东楼宇设施及物业管理装备展览会Future FM/1.png1"/>
                    <pic:cNvPicPr/>
                  </pic:nvPicPr>
                  <pic:blipFill>
                    <a:blip r:embed="rId8"/>
                    <a:srcRect t="18183" b="18183"/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技术：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IFM、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CAFM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BIM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IoT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、物联网、机器人、人工智能、软件、移动解决方案等；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instrText xml:space="preserve"> HYPERLINK "https://www.futurefm.com/" </w:instrText>
      </w: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fldChar w:fldCharType="separate"/>
      </w: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t>智能建筑</w:t>
      </w: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物联网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智能材料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数据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系统集成商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家庭自动化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综合设施管理：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场地维护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清洁服务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害虫防治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停车场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工作区管理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instrText xml:space="preserve"> HYPERLINK "https://www.futurefm.com/" </w:instrText>
      </w: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fldChar w:fldCharType="separate"/>
      </w: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t>资产管理</w:t>
      </w: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：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废物收集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回收服务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废物运输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废物处理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危险废物管理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垃圾焚烧发电解决方案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法规遵从性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技术解决方案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健康、安防管理：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室内质量管理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消防安全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水安全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电气安全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、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石棉管理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等。</w:t>
      </w: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DE7595"/>
    <w:multiLevelType w:val="singleLevel"/>
    <w:tmpl w:val="DFDE759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067693C"/>
    <w:rsid w:val="0072044B"/>
    <w:rsid w:val="04CA3560"/>
    <w:rsid w:val="06E13031"/>
    <w:rsid w:val="0B365CE9"/>
    <w:rsid w:val="0C852620"/>
    <w:rsid w:val="0E9D2C8A"/>
    <w:rsid w:val="0F2C7498"/>
    <w:rsid w:val="12824B58"/>
    <w:rsid w:val="14077076"/>
    <w:rsid w:val="14191FE6"/>
    <w:rsid w:val="1A007CE5"/>
    <w:rsid w:val="1A61091A"/>
    <w:rsid w:val="1B7D3404"/>
    <w:rsid w:val="1CAD3428"/>
    <w:rsid w:val="200D23B5"/>
    <w:rsid w:val="218477E9"/>
    <w:rsid w:val="21BD5AAD"/>
    <w:rsid w:val="227F2DA5"/>
    <w:rsid w:val="24762851"/>
    <w:rsid w:val="25AB100E"/>
    <w:rsid w:val="26A22032"/>
    <w:rsid w:val="275453A8"/>
    <w:rsid w:val="27F80C31"/>
    <w:rsid w:val="28F91767"/>
    <w:rsid w:val="2F536FA6"/>
    <w:rsid w:val="35F06D1C"/>
    <w:rsid w:val="3850214F"/>
    <w:rsid w:val="3A4436F9"/>
    <w:rsid w:val="3A766008"/>
    <w:rsid w:val="3BE96D0A"/>
    <w:rsid w:val="3C7513EC"/>
    <w:rsid w:val="429F5051"/>
    <w:rsid w:val="436A63E7"/>
    <w:rsid w:val="43A6543F"/>
    <w:rsid w:val="46F36581"/>
    <w:rsid w:val="4BB01C48"/>
    <w:rsid w:val="51E41418"/>
    <w:rsid w:val="52C16149"/>
    <w:rsid w:val="532F7A3D"/>
    <w:rsid w:val="58134E48"/>
    <w:rsid w:val="59C0704D"/>
    <w:rsid w:val="5A640A2F"/>
    <w:rsid w:val="5BDC51D4"/>
    <w:rsid w:val="5CD94967"/>
    <w:rsid w:val="5E007B96"/>
    <w:rsid w:val="5EF03005"/>
    <w:rsid w:val="62806114"/>
    <w:rsid w:val="652142E4"/>
    <w:rsid w:val="65391B04"/>
    <w:rsid w:val="661E3B5C"/>
    <w:rsid w:val="66EB3D79"/>
    <w:rsid w:val="683242A3"/>
    <w:rsid w:val="6C8C6344"/>
    <w:rsid w:val="6E410AE6"/>
    <w:rsid w:val="6F803507"/>
    <w:rsid w:val="6FD967A8"/>
    <w:rsid w:val="703F2826"/>
    <w:rsid w:val="71BC1008"/>
    <w:rsid w:val="743E4599"/>
    <w:rsid w:val="75D87472"/>
    <w:rsid w:val="76F55B87"/>
    <w:rsid w:val="781936D8"/>
    <w:rsid w:val="782C39D9"/>
    <w:rsid w:val="7CDC520C"/>
    <w:rsid w:val="7E1C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11"/>
    <w:basedOn w:val="9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paragraph" w:customStyle="1" w:styleId="14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1324</Words>
  <Characters>1526</Characters>
  <Lines>0</Lines>
  <Paragraphs>0</Paragraphs>
  <TotalTime>0</TotalTime>
  <ScaleCrop>false</ScaleCrop>
  <LinksUpToDate>false</LinksUpToDate>
  <CharactersWithSpaces>1562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2024-05-24T06:10:40Z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D587F0D87A854DE6A7F81288F7E8A489_12</vt:lpwstr>
  </property>
</Properties>
</file>