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7EFED4">
      <w:pPr>
        <w:jc w:val="center"/>
        <w:rPr>
          <w:rFonts w:hint="eastAsia" w:eastAsia="宋体"/>
          <w:lang w:eastAsia="zh-CN"/>
        </w:rPr>
      </w:pPr>
      <w:r>
        <w:rPr>
          <w:rFonts w:hint="eastAsia" w:eastAsia="宋体"/>
          <w:lang w:eastAsia="zh-CN"/>
        </w:rPr>
        <w:drawing>
          <wp:inline distT="0" distB="0" distL="114300" distR="114300">
            <wp:extent cx="6426835" cy="2856865"/>
            <wp:effectExtent l="0" t="0" r="12065" b="635"/>
            <wp:docPr id="4" name="图片 4" descr="微信图片_2023092714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30927141834"/>
                    <pic:cNvPicPr>
                      <a:picLocks noChangeAspect="1"/>
                    </pic:cNvPicPr>
                  </pic:nvPicPr>
                  <pic:blipFill>
                    <a:blip r:embed="rId4"/>
                    <a:stretch>
                      <a:fillRect/>
                    </a:stretch>
                  </pic:blipFill>
                  <pic:spPr>
                    <a:xfrm>
                      <a:off x="0" y="0"/>
                      <a:ext cx="6426835" cy="2856865"/>
                    </a:xfrm>
                    <a:prstGeom prst="rect">
                      <a:avLst/>
                    </a:prstGeom>
                  </pic:spPr>
                </pic:pic>
              </a:graphicData>
            </a:graphic>
          </wp:inline>
        </w:drawing>
      </w:r>
    </w:p>
    <w:p w14:paraId="7D178455">
      <w:pPr>
        <w:jc w:val="center"/>
        <w:rPr>
          <w:rFonts w:hint="default" w:ascii="微软雅黑" w:hAnsi="微软雅黑" w:eastAsia="微软雅黑" w:cs="微软雅黑"/>
          <w:b/>
          <w:bCs/>
          <w:kern w:val="0"/>
          <w:sz w:val="56"/>
          <w:szCs w:val="56"/>
          <w:lang w:val="en-US" w:eastAsia="zh-CN"/>
        </w:rPr>
      </w:pPr>
      <w:r>
        <w:rPr>
          <w:rFonts w:hint="eastAsia" w:ascii="微软雅黑" w:hAnsi="微软雅黑" w:eastAsia="微软雅黑" w:cs="微软雅黑"/>
          <w:b/>
          <w:bCs/>
          <w:kern w:val="0"/>
          <w:sz w:val="56"/>
          <w:szCs w:val="56"/>
          <w:lang w:val="en-US" w:eastAsia="zh-CN"/>
        </w:rPr>
        <w:t>2024年阿布扎比家居及纺织用品展</w:t>
      </w:r>
    </w:p>
    <w:p w14:paraId="54BE9A03">
      <w:pPr>
        <w:jc w:val="center"/>
        <w:rPr>
          <w:rFonts w:hint="eastAsia" w:ascii="微软雅黑" w:hAnsi="微软雅黑" w:eastAsia="微软雅黑" w:cs="微软雅黑"/>
          <w:b/>
          <w:bCs/>
          <w:sz w:val="40"/>
          <w:szCs w:val="40"/>
          <w:lang w:val="en-US" w:eastAsia="zh-CN"/>
        </w:rPr>
      </w:pPr>
      <w:bookmarkStart w:id="0" w:name="_GoBack"/>
      <w:r>
        <w:rPr>
          <w:rFonts w:hint="eastAsia" w:ascii="微软雅黑" w:hAnsi="微软雅黑" w:eastAsia="微软雅黑" w:cs="微软雅黑"/>
          <w:b/>
          <w:bCs/>
          <w:sz w:val="40"/>
          <w:szCs w:val="40"/>
          <w:lang w:val="en-US" w:eastAsia="zh-CN"/>
        </w:rPr>
        <w:drawing>
          <wp:inline distT="0" distB="0" distL="114300" distR="114300">
            <wp:extent cx="1733550" cy="790575"/>
            <wp:effectExtent l="0" t="0" r="0" b="9525"/>
            <wp:docPr id="2" name="图片 2" descr="微信截图_20240827164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截图_20240827164221"/>
                    <pic:cNvPicPr>
                      <a:picLocks noChangeAspect="1"/>
                    </pic:cNvPicPr>
                  </pic:nvPicPr>
                  <pic:blipFill>
                    <a:blip r:embed="rId5"/>
                    <a:stretch>
                      <a:fillRect/>
                    </a:stretch>
                  </pic:blipFill>
                  <pic:spPr>
                    <a:xfrm>
                      <a:off x="0" y="0"/>
                      <a:ext cx="1733550" cy="790575"/>
                    </a:xfrm>
                    <a:prstGeom prst="rect">
                      <a:avLst/>
                    </a:prstGeom>
                  </pic:spPr>
                </pic:pic>
              </a:graphicData>
            </a:graphic>
          </wp:inline>
        </w:drawing>
      </w:r>
      <w:bookmarkEnd w:id="0"/>
    </w:p>
    <w:p w14:paraId="0AEFAF50">
      <w:pPr>
        <w:jc w:val="left"/>
        <w:rPr>
          <w:rFonts w:hint="eastAsia" w:ascii="微软雅黑" w:hAnsi="微软雅黑" w:eastAsia="微软雅黑" w:cs="微软雅黑"/>
          <w:b/>
          <w:bCs/>
          <w:sz w:val="40"/>
          <w:szCs w:val="40"/>
          <w:lang w:val="en-US" w:eastAsia="zh-CN"/>
        </w:rPr>
      </w:pPr>
      <w:r>
        <w:rPr>
          <w:rFonts w:hint="eastAsia" w:ascii="微软雅黑" w:hAnsi="微软雅黑" w:eastAsia="微软雅黑" w:cs="微软雅黑"/>
          <w:b/>
          <w:bCs/>
          <w:sz w:val="40"/>
          <w:szCs w:val="40"/>
          <w:lang w:val="en-US" w:eastAsia="zh-CN"/>
        </w:rPr>
        <w:t>展会介绍</w:t>
      </w:r>
    </w:p>
    <w:p w14:paraId="70593F1C">
      <w:pPr>
        <w:pStyle w:val="6"/>
        <w:tabs>
          <w:tab w:val="left" w:pos="5880"/>
        </w:tabs>
        <w:spacing w:before="159" w:line="187" w:lineRule="auto"/>
        <w:ind w:left="169"/>
        <w:jc w:val="left"/>
        <w:rPr>
          <w:rFonts w:hint="default"/>
          <w:b/>
          <w:bCs/>
          <w:color w:val="050E17"/>
          <w:spacing w:val="9"/>
          <w:sz w:val="28"/>
          <w:szCs w:val="28"/>
          <w:lang w:val="en-US" w:eastAsia="zh-CN"/>
        </w:rPr>
      </w:pPr>
      <w:r>
        <w:rPr>
          <w:rFonts w:hint="eastAsia"/>
          <w:b/>
          <w:bCs/>
          <w:color w:val="050E17"/>
          <w:spacing w:val="9"/>
          <w:sz w:val="28"/>
          <w:szCs w:val="28"/>
        </w:rPr>
        <w:t>●</w:t>
      </w:r>
      <w:r>
        <w:rPr>
          <w:rFonts w:hint="eastAsia"/>
          <w:b/>
          <w:bCs/>
          <w:color w:val="050E17"/>
          <w:spacing w:val="9"/>
          <w:sz w:val="28"/>
          <w:szCs w:val="28"/>
          <w:lang w:val="en-US" w:eastAsia="zh-CN"/>
        </w:rPr>
        <w:t xml:space="preserve"> </w:t>
      </w:r>
      <w:r>
        <w:rPr>
          <w:b/>
          <w:bCs/>
          <w:color w:val="050E17"/>
          <w:spacing w:val="9"/>
          <w:sz w:val="28"/>
          <w:szCs w:val="28"/>
        </w:rPr>
        <w:t>展会时间</w:t>
      </w:r>
      <w:r>
        <w:rPr>
          <w:rFonts w:hint="eastAsia"/>
          <w:b/>
          <w:bCs/>
          <w:color w:val="050E17"/>
          <w:spacing w:val="9"/>
          <w:sz w:val="28"/>
          <w:szCs w:val="28"/>
          <w:lang w:eastAsia="zh-CN"/>
        </w:rPr>
        <w:t>：</w:t>
      </w:r>
      <w:r>
        <w:rPr>
          <w:b/>
          <w:bCs/>
          <w:color w:val="050E17"/>
          <w:spacing w:val="9"/>
          <w:sz w:val="28"/>
          <w:szCs w:val="28"/>
        </w:rPr>
        <w:t>2024年</w:t>
      </w:r>
      <w:r>
        <w:rPr>
          <w:rFonts w:hint="eastAsia"/>
          <w:b/>
          <w:bCs/>
          <w:color w:val="050E17"/>
          <w:spacing w:val="9"/>
          <w:sz w:val="28"/>
          <w:szCs w:val="28"/>
          <w:lang w:val="en-US" w:eastAsia="zh-CN"/>
        </w:rPr>
        <w:t xml:space="preserve">12月01-03日    </w:t>
      </w:r>
      <w:r>
        <w:rPr>
          <w:b/>
          <w:bCs/>
          <w:color w:val="050E17"/>
          <w:spacing w:val="9"/>
          <w:sz w:val="28"/>
          <w:szCs w:val="28"/>
        </w:rPr>
        <w:t>展会地点</w:t>
      </w:r>
      <w:r>
        <w:rPr>
          <w:rFonts w:hint="eastAsia"/>
          <w:b/>
          <w:bCs/>
          <w:color w:val="050E17"/>
          <w:spacing w:val="9"/>
          <w:sz w:val="28"/>
          <w:szCs w:val="28"/>
          <w:lang w:eastAsia="zh-CN"/>
        </w:rPr>
        <w:t>：</w:t>
      </w:r>
      <w:r>
        <w:rPr>
          <w:rFonts w:hint="eastAsia"/>
          <w:b/>
          <w:bCs/>
          <w:color w:val="050E17"/>
          <w:spacing w:val="9"/>
          <w:sz w:val="28"/>
          <w:szCs w:val="28"/>
          <w:lang w:val="en-US" w:eastAsia="zh-CN"/>
        </w:rPr>
        <w:t>阿布扎比国际展览中心</w:t>
      </w:r>
    </w:p>
    <w:p w14:paraId="48954B70">
      <w:pPr>
        <w:pStyle w:val="6"/>
        <w:tabs>
          <w:tab w:val="left" w:pos="5880"/>
        </w:tabs>
        <w:spacing w:before="159" w:line="187" w:lineRule="auto"/>
        <w:ind w:left="169"/>
        <w:jc w:val="left"/>
        <w:rPr>
          <w:rFonts w:hint="default"/>
          <w:b/>
          <w:bCs/>
          <w:color w:val="050E17"/>
          <w:spacing w:val="9"/>
          <w:sz w:val="28"/>
          <w:szCs w:val="28"/>
          <w:lang w:val="en-US" w:eastAsia="zh-CN"/>
        </w:rPr>
      </w:pPr>
      <w:r>
        <w:rPr>
          <w:rFonts w:hint="eastAsia"/>
          <w:b/>
          <w:bCs/>
          <w:color w:val="050E17"/>
          <w:spacing w:val="9"/>
          <w:sz w:val="28"/>
          <w:szCs w:val="28"/>
        </w:rPr>
        <w:t>●</w:t>
      </w:r>
      <w:r>
        <w:rPr>
          <w:rFonts w:hint="eastAsia"/>
          <w:b/>
          <w:bCs/>
          <w:color w:val="050E17"/>
          <w:spacing w:val="9"/>
          <w:sz w:val="28"/>
          <w:szCs w:val="28"/>
          <w:lang w:val="en-US" w:eastAsia="zh-CN"/>
        </w:rPr>
        <w:t xml:space="preserve"> </w:t>
      </w:r>
      <w:r>
        <w:rPr>
          <w:b/>
          <w:bCs/>
          <w:color w:val="050E17"/>
          <w:spacing w:val="9"/>
          <w:sz w:val="28"/>
          <w:szCs w:val="28"/>
        </w:rPr>
        <w:t>主办单位</w:t>
      </w:r>
      <w:r>
        <w:rPr>
          <w:rFonts w:hint="eastAsia"/>
          <w:b/>
          <w:bCs/>
          <w:color w:val="050E17"/>
          <w:spacing w:val="9"/>
          <w:sz w:val="28"/>
          <w:szCs w:val="28"/>
          <w:lang w:eastAsia="zh-CN"/>
        </w:rPr>
        <w:t>：</w:t>
      </w:r>
      <w:r>
        <w:rPr>
          <w:b/>
          <w:bCs/>
          <w:color w:val="050E17"/>
          <w:spacing w:val="9"/>
          <w:sz w:val="22"/>
          <w:szCs w:val="22"/>
          <w:lang w:val="en-US" w:eastAsia="zh-CN"/>
        </w:rPr>
        <w:t>Exhibition Organizer Group</w:t>
      </w:r>
      <w:r>
        <w:rPr>
          <w:rFonts w:hint="eastAsia"/>
          <w:b/>
          <w:bCs/>
          <w:color w:val="050E17"/>
          <w:spacing w:val="9"/>
          <w:sz w:val="22"/>
          <w:szCs w:val="22"/>
          <w:lang w:val="en-US" w:eastAsia="zh-CN"/>
        </w:rPr>
        <w:t xml:space="preserve">    </w:t>
      </w:r>
      <w:r>
        <w:rPr>
          <w:rFonts w:hint="eastAsia"/>
          <w:b/>
          <w:bCs/>
          <w:color w:val="050E17"/>
          <w:spacing w:val="9"/>
          <w:sz w:val="28"/>
          <w:szCs w:val="28"/>
          <w:lang w:val="en-US" w:eastAsia="zh-CN"/>
        </w:rPr>
        <w:t>展会类型：酒店家居</w:t>
      </w:r>
    </w:p>
    <w:p w14:paraId="58D7CC2C">
      <w:pPr>
        <w:pStyle w:val="6"/>
        <w:tabs>
          <w:tab w:val="left" w:pos="5880"/>
        </w:tabs>
        <w:spacing w:before="159" w:line="187" w:lineRule="auto"/>
        <w:jc w:val="left"/>
        <w:rPr>
          <w:rFonts w:hint="eastAsia"/>
          <w:b/>
          <w:bCs/>
          <w:color w:val="050E17"/>
          <w:spacing w:val="9"/>
          <w:sz w:val="28"/>
          <w:szCs w:val="28"/>
          <w:lang w:val="en-US" w:eastAsia="zh-CN"/>
        </w:rPr>
      </w:pPr>
    </w:p>
    <w:p w14:paraId="16CC8BA9">
      <w:pPr>
        <w:pStyle w:val="6"/>
        <w:tabs>
          <w:tab w:val="left" w:pos="5880"/>
        </w:tabs>
        <w:spacing w:before="159" w:line="187" w:lineRule="auto"/>
        <w:ind w:left="169"/>
        <w:jc w:val="left"/>
        <w:rPr>
          <w:rFonts w:hint="eastAsia"/>
          <w:b/>
          <w:bCs/>
          <w:color w:val="050E17"/>
          <w:spacing w:val="9"/>
          <w:sz w:val="28"/>
          <w:szCs w:val="28"/>
          <w:lang w:val="en-US" w:eastAsia="zh-CN"/>
        </w:rPr>
      </w:pPr>
      <w:r>
        <w:rPr>
          <w:rFonts w:hint="eastAsia"/>
          <w:b/>
          <w:bCs/>
          <w:color w:val="050E17"/>
          <w:spacing w:val="9"/>
          <w:sz w:val="28"/>
          <w:szCs w:val="28"/>
          <w:lang w:val="en-US" w:eastAsia="zh-CN"/>
        </w:rPr>
        <w:drawing>
          <wp:inline distT="0" distB="0" distL="114300" distR="114300">
            <wp:extent cx="6415405" cy="2728595"/>
            <wp:effectExtent l="0" t="0" r="4445" b="14605"/>
            <wp:docPr id="3" name="http://photo-static-api.fotomore.com/creative/vcg/400/new/VCG41N1212072157.jpg?uid=386&amp;timestamp=1716191028&amp;sign=c7c5a3b3e837b2d85213ddd7752db4b8" descr="templates\picture_hover\&amp;pky310_sjzg_VCG41N1212072157&amp;"/>
            <wp:cNvGraphicFramePr>
              <a:extLst xmlns:a="http://schemas.openxmlformats.org/drawingml/2006/main">
                <a:ext uri="{7FBC4E63-A832-4D11-8238-D91031DB1400}">
                  <s:tag xmlns="http://www.wps.cn/officeDocument/2013/wpsCustomData" xmlns:s="http://www.wps.cn/officeDocument/2013/wpsCustomData">
                    <s:item s:name="KSO_DOCER_RESOURCE_TRACE_INFO" s:val="{&quot;id&quot;:&quot;0_sjzg_VCG41N1212072157&quot;,&quot;origin&quot;:0,&quot;type&quot;:&quot;pictures&quot;,&quot;user&quot;:&quot;1558062249&quot;}"/>
                  </s:tag>
                </a:ext>
              </a:extLst>
            </wp:cNvGraphicFramePr>
            <a:graphic xmlns:a="http://schemas.openxmlformats.org/drawingml/2006/main">
              <a:graphicData uri="http://schemas.openxmlformats.org/drawingml/2006/picture">
                <pic:pic xmlns:pic="http://schemas.openxmlformats.org/drawingml/2006/picture">
                  <pic:nvPicPr>
                    <pic:cNvPr id="3" name="http://photo-static-api.fotomore.com/creative/vcg/400/new/VCG41N1212072157.jpg?uid=386&amp;timestamp=1716191028&amp;sign=c7c5a3b3e837b2d85213ddd7752db4b8" descr="templates\picture_hover\&amp;pky310_sjzg_VCG41N1212072157&amp;"/>
                    <pic:cNvPicPr/>
                  </pic:nvPicPr>
                  <pic:blipFill>
                    <a:blip r:embed="rId6"/>
                    <a:srcRect b="10965"/>
                    <a:stretch>
                      <a:fillRect/>
                    </a:stretch>
                  </pic:blipFill>
                  <pic:spPr>
                    <a:xfrm>
                      <a:off x="0" y="0"/>
                      <a:ext cx="6415405" cy="2728595"/>
                    </a:xfrm>
                    <a:prstGeom prst="rect">
                      <a:avLst/>
                    </a:prstGeom>
                  </pic:spPr>
                </pic:pic>
              </a:graphicData>
            </a:graphic>
          </wp:inline>
        </w:drawing>
      </w:r>
    </w:p>
    <w:p w14:paraId="42450BE4">
      <w:pPr>
        <w:keepNext w:val="0"/>
        <w:keepLines w:val="0"/>
        <w:pageBreakBefore w:val="0"/>
        <w:widowControl w:val="0"/>
        <w:kinsoku/>
        <w:wordWrap/>
        <w:overflowPunct/>
        <w:topLinePunct w:val="0"/>
        <w:autoSpaceDE/>
        <w:autoSpaceDN/>
        <w:bidi w:val="0"/>
        <w:adjustRightInd/>
        <w:snapToGrid w:val="0"/>
        <w:spacing w:line="360" w:lineRule="auto"/>
        <w:ind w:firstLine="440" w:firstLineChars="200"/>
        <w:jc w:val="left"/>
        <w:textAlignment w:val="auto"/>
        <w:rPr>
          <w:rFonts w:hint="eastAsia" w:ascii="微软雅黑" w:hAnsi="微软雅黑" w:eastAsia="微软雅黑" w:cs="微软雅黑"/>
          <w:sz w:val="22"/>
          <w:szCs w:val="22"/>
        </w:rPr>
      </w:pPr>
    </w:p>
    <w:p w14:paraId="660FA4B6">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微软雅黑" w:hAnsi="微软雅黑" w:eastAsia="微软雅黑"/>
          <w:sz w:val="28"/>
          <w:szCs w:val="28"/>
          <w:lang w:val="en-US" w:eastAsia="zh-CN"/>
        </w:rPr>
      </w:pPr>
      <w:r>
        <w:rPr>
          <w:rFonts w:hint="eastAsia" w:ascii="微软雅黑" w:hAnsi="微软雅黑" w:eastAsia="微软雅黑"/>
          <w:sz w:val="28"/>
          <w:szCs w:val="28"/>
          <w:lang w:val="en-US" w:eastAsia="zh-CN"/>
        </w:rPr>
        <w:t>阿布扎比家居及纺织用品展由阿布扎比文化旅游局赞助举办，是专为中东地区家用纺织品行业而设的国际展览会。</w:t>
      </w:r>
    </w:p>
    <w:p w14:paraId="7925C38D">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微软雅黑" w:hAnsi="微软雅黑" w:eastAsia="微软雅黑"/>
          <w:sz w:val="28"/>
          <w:szCs w:val="28"/>
          <w:lang w:val="en-US" w:eastAsia="zh-CN"/>
        </w:rPr>
      </w:pPr>
      <w:r>
        <w:rPr>
          <w:rFonts w:hint="eastAsia" w:ascii="微软雅黑" w:hAnsi="微软雅黑" w:eastAsia="微软雅黑"/>
          <w:sz w:val="28"/>
          <w:szCs w:val="28"/>
          <w:lang w:val="en-US" w:eastAsia="zh-CN"/>
        </w:rPr>
        <w:t>2024年12月01-03日，第一届阿布扎比家居及纺织用品展将于阿布扎比国际展览中心盛大开幕。本次展会预计将有来自全球各国的200家展商参展，参展商人数将达到8000人次，展馆面积预计5000平方米。</w:t>
      </w:r>
    </w:p>
    <w:tbl>
      <w:tblPr>
        <w:tblStyle w:val="11"/>
        <w:tblpPr w:leftFromText="180" w:rightFromText="180" w:vertAnchor="text" w:horzAnchor="page" w:tblpXSpec="center" w:tblpY="137"/>
        <w:tblOverlap w:val="never"/>
        <w:tblW w:w="968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12"/>
        <w:gridCol w:w="2432"/>
        <w:gridCol w:w="2419"/>
        <w:gridCol w:w="2426"/>
      </w:tblGrid>
      <w:tr w14:paraId="680CFC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1" w:hRule="atLeast"/>
          <w:jc w:val="center"/>
        </w:trPr>
        <w:tc>
          <w:tcPr>
            <w:tcW w:w="2412" w:type="dxa"/>
            <w:shd w:val="clear" w:color="auto" w:fill="4069DD"/>
            <w:vAlign w:val="top"/>
          </w:tcPr>
          <w:p w14:paraId="572E9FE5">
            <w:pPr>
              <w:spacing w:before="211" w:line="190" w:lineRule="auto"/>
              <w:ind w:left="685"/>
              <w:rPr>
                <w:rFonts w:ascii="微软雅黑" w:hAnsi="微软雅黑" w:eastAsia="微软雅黑" w:cs="微软雅黑"/>
                <w:sz w:val="28"/>
                <w:szCs w:val="28"/>
              </w:rPr>
            </w:pPr>
            <w:r>
              <w:rPr>
                <w:rFonts w:ascii="微软雅黑" w:hAnsi="微软雅黑" w:eastAsia="微软雅黑" w:cs="微软雅黑"/>
                <w:color w:val="FFFFFF"/>
                <w:spacing w:val="3"/>
                <w:sz w:val="28"/>
                <w:szCs w:val="28"/>
              </w:rPr>
              <w:t>国际展商</w:t>
            </w:r>
          </w:p>
        </w:tc>
        <w:tc>
          <w:tcPr>
            <w:tcW w:w="2432" w:type="dxa"/>
            <w:shd w:val="clear" w:color="auto" w:fill="4069DD"/>
            <w:vAlign w:val="top"/>
          </w:tcPr>
          <w:p w14:paraId="272DD9C9">
            <w:pPr>
              <w:spacing w:before="210" w:line="189" w:lineRule="auto"/>
              <w:ind w:left="681"/>
              <w:rPr>
                <w:rFonts w:ascii="微软雅黑" w:hAnsi="微软雅黑" w:eastAsia="微软雅黑" w:cs="微软雅黑"/>
                <w:sz w:val="28"/>
                <w:szCs w:val="28"/>
              </w:rPr>
            </w:pPr>
            <w:r>
              <w:rPr>
                <w:rFonts w:ascii="微软雅黑" w:hAnsi="微软雅黑" w:eastAsia="微软雅黑" w:cs="微软雅黑"/>
                <w:color w:val="FFFFFF"/>
                <w:spacing w:val="6"/>
                <w:sz w:val="28"/>
                <w:szCs w:val="28"/>
              </w:rPr>
              <w:t>参展人数</w:t>
            </w:r>
          </w:p>
        </w:tc>
        <w:tc>
          <w:tcPr>
            <w:tcW w:w="2419" w:type="dxa"/>
            <w:shd w:val="clear" w:color="auto" w:fill="4069DD"/>
            <w:vAlign w:val="top"/>
          </w:tcPr>
          <w:p w14:paraId="10EDF4F6">
            <w:pPr>
              <w:spacing w:before="210" w:line="191" w:lineRule="auto"/>
              <w:ind w:left="678"/>
              <w:rPr>
                <w:rFonts w:ascii="微软雅黑" w:hAnsi="微软雅黑" w:eastAsia="微软雅黑" w:cs="微软雅黑"/>
                <w:sz w:val="28"/>
                <w:szCs w:val="28"/>
              </w:rPr>
            </w:pPr>
            <w:r>
              <w:rPr>
                <w:rFonts w:ascii="微软雅黑" w:hAnsi="微软雅黑" w:eastAsia="微软雅黑" w:cs="微软雅黑"/>
                <w:color w:val="FFFFFF"/>
                <w:spacing w:val="6"/>
                <w:sz w:val="28"/>
                <w:szCs w:val="28"/>
              </w:rPr>
              <w:t>辐射国家</w:t>
            </w:r>
          </w:p>
        </w:tc>
        <w:tc>
          <w:tcPr>
            <w:tcW w:w="2426" w:type="dxa"/>
            <w:shd w:val="clear" w:color="auto" w:fill="4069DD"/>
            <w:vAlign w:val="top"/>
          </w:tcPr>
          <w:p w14:paraId="26D91FE3">
            <w:pPr>
              <w:spacing w:before="211" w:line="189" w:lineRule="auto"/>
              <w:ind w:left="679"/>
              <w:rPr>
                <w:rFonts w:ascii="微软雅黑" w:hAnsi="微软雅黑" w:eastAsia="微软雅黑" w:cs="微软雅黑"/>
                <w:sz w:val="28"/>
                <w:szCs w:val="28"/>
              </w:rPr>
            </w:pPr>
            <w:r>
              <w:rPr>
                <w:rFonts w:ascii="微软雅黑" w:hAnsi="微软雅黑" w:eastAsia="微软雅黑" w:cs="微软雅黑"/>
                <w:color w:val="FFFFFF"/>
                <w:spacing w:val="7"/>
                <w:sz w:val="28"/>
                <w:szCs w:val="28"/>
              </w:rPr>
              <w:t>展会面积</w:t>
            </w:r>
          </w:p>
        </w:tc>
      </w:tr>
      <w:tr w14:paraId="02D1F4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6" w:hRule="atLeast"/>
          <w:jc w:val="center"/>
        </w:trPr>
        <w:tc>
          <w:tcPr>
            <w:tcW w:w="2412" w:type="dxa"/>
            <w:vAlign w:val="top"/>
          </w:tcPr>
          <w:p w14:paraId="2C96A5E4">
            <w:pPr>
              <w:spacing w:before="227" w:line="214" w:lineRule="auto"/>
              <w:jc w:val="center"/>
              <w:rPr>
                <w:rFonts w:ascii="微软雅黑" w:hAnsi="微软雅黑" w:eastAsia="微软雅黑" w:cs="微软雅黑"/>
                <w:sz w:val="28"/>
                <w:szCs w:val="28"/>
              </w:rPr>
            </w:pPr>
            <w:r>
              <w:rPr>
                <w:rFonts w:hint="eastAsia" w:ascii="微软雅黑" w:hAnsi="微软雅黑" w:eastAsia="微软雅黑" w:cs="微软雅黑"/>
                <w:spacing w:val="-8"/>
                <w:sz w:val="28"/>
                <w:szCs w:val="28"/>
                <w:lang w:val="en-US" w:eastAsia="zh-CN"/>
              </w:rPr>
              <w:t>200</w:t>
            </w:r>
            <w:r>
              <w:rPr>
                <w:rFonts w:ascii="微软雅黑" w:hAnsi="微软雅黑" w:eastAsia="微软雅黑" w:cs="微软雅黑"/>
                <w:spacing w:val="-8"/>
                <w:sz w:val="28"/>
                <w:szCs w:val="28"/>
              </w:rPr>
              <w:t>+</w:t>
            </w:r>
          </w:p>
        </w:tc>
        <w:tc>
          <w:tcPr>
            <w:tcW w:w="2432" w:type="dxa"/>
            <w:vAlign w:val="top"/>
          </w:tcPr>
          <w:p w14:paraId="641E1D0B">
            <w:pPr>
              <w:spacing w:before="225" w:line="197" w:lineRule="auto"/>
              <w:jc w:val="center"/>
              <w:rPr>
                <w:rFonts w:ascii="微软雅黑" w:hAnsi="微软雅黑" w:eastAsia="微软雅黑" w:cs="微软雅黑"/>
                <w:sz w:val="28"/>
                <w:szCs w:val="28"/>
              </w:rPr>
            </w:pPr>
            <w:r>
              <w:rPr>
                <w:rFonts w:hint="eastAsia" w:ascii="微软雅黑" w:hAnsi="微软雅黑" w:eastAsia="微软雅黑" w:cs="微软雅黑"/>
                <w:spacing w:val="-3"/>
                <w:sz w:val="28"/>
                <w:szCs w:val="28"/>
                <w:lang w:val="en-US" w:eastAsia="zh-CN"/>
              </w:rPr>
              <w:t>8</w:t>
            </w:r>
            <w:r>
              <w:rPr>
                <w:rFonts w:ascii="微软雅黑" w:hAnsi="微软雅黑" w:eastAsia="微软雅黑" w:cs="微软雅黑"/>
                <w:spacing w:val="-3"/>
                <w:sz w:val="28"/>
                <w:szCs w:val="28"/>
              </w:rPr>
              <w:t>,000+</w:t>
            </w:r>
          </w:p>
        </w:tc>
        <w:tc>
          <w:tcPr>
            <w:tcW w:w="2419" w:type="dxa"/>
            <w:vAlign w:val="top"/>
          </w:tcPr>
          <w:p w14:paraId="227B8057">
            <w:pPr>
              <w:spacing w:before="227" w:line="214" w:lineRule="auto"/>
              <w:jc w:val="center"/>
              <w:rPr>
                <w:rFonts w:ascii="微软雅黑" w:hAnsi="微软雅黑" w:eastAsia="微软雅黑" w:cs="微软雅黑"/>
                <w:sz w:val="28"/>
                <w:szCs w:val="28"/>
              </w:rPr>
            </w:pPr>
            <w:r>
              <w:rPr>
                <w:rFonts w:hint="eastAsia" w:ascii="微软雅黑" w:hAnsi="微软雅黑" w:eastAsia="微软雅黑" w:cs="微软雅黑"/>
                <w:color w:val="auto"/>
                <w:spacing w:val="-10"/>
                <w:sz w:val="28"/>
                <w:szCs w:val="28"/>
                <w:lang w:val="en-US" w:eastAsia="zh-CN"/>
              </w:rPr>
              <w:t>30</w:t>
            </w:r>
            <w:r>
              <w:rPr>
                <w:rFonts w:ascii="微软雅黑" w:hAnsi="微软雅黑" w:eastAsia="微软雅黑" w:cs="微软雅黑"/>
                <w:color w:val="auto"/>
                <w:spacing w:val="-10"/>
                <w:sz w:val="28"/>
                <w:szCs w:val="28"/>
              </w:rPr>
              <w:t>+</w:t>
            </w:r>
          </w:p>
        </w:tc>
        <w:tc>
          <w:tcPr>
            <w:tcW w:w="2426" w:type="dxa"/>
            <w:vAlign w:val="top"/>
          </w:tcPr>
          <w:p w14:paraId="3936E56C">
            <w:pPr>
              <w:spacing w:before="225" w:line="197" w:lineRule="auto"/>
              <w:jc w:val="center"/>
              <w:rPr>
                <w:rFonts w:ascii="微软雅黑" w:hAnsi="微软雅黑" w:eastAsia="微软雅黑" w:cs="微软雅黑"/>
                <w:sz w:val="28"/>
                <w:szCs w:val="28"/>
              </w:rPr>
            </w:pPr>
            <w:r>
              <w:rPr>
                <w:rFonts w:hint="eastAsia" w:ascii="微软雅黑" w:hAnsi="微软雅黑" w:eastAsia="微软雅黑" w:cs="微软雅黑"/>
                <w:color w:val="auto"/>
                <w:spacing w:val="-3"/>
                <w:sz w:val="28"/>
                <w:szCs w:val="28"/>
                <w:lang w:val="en-US" w:eastAsia="zh-CN"/>
              </w:rPr>
              <w:t>5</w:t>
            </w:r>
            <w:r>
              <w:rPr>
                <w:rFonts w:ascii="微软雅黑" w:hAnsi="微软雅黑" w:eastAsia="微软雅黑" w:cs="微软雅黑"/>
                <w:color w:val="auto"/>
                <w:spacing w:val="-3"/>
                <w:sz w:val="28"/>
                <w:szCs w:val="28"/>
              </w:rPr>
              <w:t>,000+</w:t>
            </w:r>
          </w:p>
        </w:tc>
      </w:tr>
    </w:tbl>
    <w:p w14:paraId="12E70B2B">
      <w:pPr>
        <w:keepNext w:val="0"/>
        <w:keepLines w:val="0"/>
        <w:pageBreakBefore w:val="0"/>
        <w:widowControl/>
        <w:kinsoku w:val="0"/>
        <w:wordWrap/>
        <w:overflowPunct/>
        <w:topLinePunct w:val="0"/>
        <w:autoSpaceDE w:val="0"/>
        <w:autoSpaceDN w:val="0"/>
        <w:bidi w:val="0"/>
        <w:adjustRightInd w:val="0"/>
        <w:snapToGrid/>
        <w:spacing w:line="360" w:lineRule="auto"/>
        <w:jc w:val="both"/>
        <w:textAlignment w:val="baseline"/>
        <w:rPr>
          <w:rFonts w:hint="eastAsia" w:ascii="微软雅黑" w:hAnsi="微软雅黑" w:eastAsia="微软雅黑" w:cs="微软雅黑"/>
          <w:b/>
          <w:bCs/>
          <w:sz w:val="40"/>
          <w:szCs w:val="40"/>
          <w:lang w:val="en-US" w:eastAsia="zh-CN"/>
        </w:rPr>
      </w:pPr>
    </w:p>
    <w:p w14:paraId="15F6B0A4">
      <w:pPr>
        <w:keepNext w:val="0"/>
        <w:keepLines w:val="0"/>
        <w:pageBreakBefore w:val="0"/>
        <w:widowControl/>
        <w:kinsoku w:val="0"/>
        <w:wordWrap/>
        <w:overflowPunct/>
        <w:topLinePunct w:val="0"/>
        <w:autoSpaceDE w:val="0"/>
        <w:autoSpaceDN w:val="0"/>
        <w:bidi w:val="0"/>
        <w:adjustRightInd w:val="0"/>
        <w:snapToGrid/>
        <w:spacing w:line="360" w:lineRule="auto"/>
        <w:jc w:val="both"/>
        <w:textAlignment w:val="baseline"/>
        <w:rPr>
          <w:rFonts w:hint="eastAsia" w:ascii="微软雅黑" w:hAnsi="微软雅黑" w:eastAsia="微软雅黑"/>
          <w:sz w:val="28"/>
          <w:szCs w:val="28"/>
          <w:lang w:val="en-US" w:eastAsia="zh-CN"/>
        </w:rPr>
      </w:pPr>
      <w:r>
        <w:rPr>
          <w:rFonts w:hint="eastAsia" w:ascii="微软雅黑" w:hAnsi="微软雅黑" w:eastAsia="微软雅黑" w:cs="微软雅黑"/>
          <w:b/>
          <w:bCs/>
          <w:sz w:val="40"/>
          <w:szCs w:val="40"/>
          <w:lang w:val="en-US" w:eastAsia="zh-CN"/>
        </w:rPr>
        <w:t>市场机遇</w:t>
      </w:r>
    </w:p>
    <w:p w14:paraId="2D6AFA42">
      <w:pPr>
        <w:keepNext w:val="0"/>
        <w:keepLines w:val="0"/>
        <w:pageBreakBefore w:val="0"/>
        <w:widowControl w:val="0"/>
        <w:kinsoku/>
        <w:wordWrap/>
        <w:overflowPunct/>
        <w:topLinePunct w:val="0"/>
        <w:autoSpaceDE/>
        <w:autoSpaceDN/>
        <w:bidi w:val="0"/>
        <w:adjustRightInd/>
        <w:snapToGrid/>
        <w:jc w:val="center"/>
        <w:textAlignment w:val="auto"/>
        <w:rPr>
          <w:rFonts w:hint="eastAsia" w:ascii="微软雅黑" w:hAnsi="微软雅黑" w:eastAsia="微软雅黑"/>
          <w:sz w:val="28"/>
          <w:szCs w:val="28"/>
          <w:lang w:val="en-US" w:eastAsia="zh-CN"/>
        </w:rPr>
      </w:pPr>
      <w:r>
        <w:rPr>
          <w:rFonts w:hint="eastAsia" w:ascii="微软雅黑" w:hAnsi="微软雅黑" w:eastAsia="微软雅黑"/>
          <w:sz w:val="28"/>
          <w:szCs w:val="28"/>
          <w:lang w:val="en-US" w:eastAsia="zh-CN"/>
        </w:rPr>
        <w:drawing>
          <wp:inline distT="0" distB="0" distL="114300" distR="114300">
            <wp:extent cx="6415405" cy="2728595"/>
            <wp:effectExtent l="0" t="0" r="4445" b="14605"/>
            <wp:docPr id="6" name="http://photo-static-api.fotomore.com/creative/vcg/400/new/VCG41N1208993169.jpg?uid=386&amp;timestamp=1716191103&amp;sign=8576feafcf5f07664ec1abe00909fc34" descr="templates\picture_hover\&amp;pky310_sjzg_VCG41N1208993169&amp;"/>
            <wp:cNvGraphicFramePr>
              <a:extLst xmlns:a="http://schemas.openxmlformats.org/drawingml/2006/main">
                <a:ext uri="{7FBC4E63-A832-4D11-8238-D91031DB1400}">
                  <s:tag xmlns="http://www.wps.cn/officeDocument/2013/wpsCustomData" xmlns:s="http://www.wps.cn/officeDocument/2013/wpsCustomData">
                    <s:item s:name="KSO_DOCER_RESOURCE_TRACE_INFO" s:val="{&quot;id&quot;:&quot;0_sjzg_VCG41N1208993169&quot;,&quot;origin&quot;:0,&quot;type&quot;:&quot;pictures&quot;,&quot;user&quot;:&quot;1558062249&quot;}"/>
                  </s:tag>
                </a:ext>
              </a:extLst>
            </wp:cNvGraphicFramePr>
            <a:graphic xmlns:a="http://schemas.openxmlformats.org/drawingml/2006/main">
              <a:graphicData uri="http://schemas.openxmlformats.org/drawingml/2006/picture">
                <pic:pic xmlns:pic="http://schemas.openxmlformats.org/drawingml/2006/picture">
                  <pic:nvPicPr>
                    <pic:cNvPr id="6" name="http://photo-static-api.fotomore.com/creative/vcg/400/new/VCG41N1208993169.jpg?uid=386&amp;timestamp=1716191103&amp;sign=8576feafcf5f07664ec1abe00909fc34" descr="templates\picture_hover\&amp;pky310_sjzg_VCG41N1208993169&amp;"/>
                    <pic:cNvPicPr/>
                  </pic:nvPicPr>
                  <pic:blipFill>
                    <a:blip r:embed="rId7"/>
                    <a:srcRect t="11459" b="10694"/>
                    <a:stretch>
                      <a:fillRect/>
                    </a:stretch>
                  </pic:blipFill>
                  <pic:spPr>
                    <a:xfrm>
                      <a:off x="0" y="0"/>
                      <a:ext cx="6415405" cy="2728595"/>
                    </a:xfrm>
                    <a:prstGeom prst="rect">
                      <a:avLst/>
                    </a:prstGeom>
                  </pic:spPr>
                </pic:pic>
              </a:graphicData>
            </a:graphic>
          </wp:inline>
        </w:drawing>
      </w:r>
    </w:p>
    <w:p w14:paraId="1D60DDB6">
      <w:pPr>
        <w:keepNext w:val="0"/>
        <w:keepLines w:val="0"/>
        <w:pageBreakBefore w:val="0"/>
        <w:widowControl w:val="0"/>
        <w:kinsoku/>
        <w:wordWrap/>
        <w:overflowPunct/>
        <w:topLinePunct w:val="0"/>
        <w:autoSpaceDE/>
        <w:autoSpaceDN/>
        <w:bidi w:val="0"/>
        <w:adjustRightInd/>
        <w:snapToGrid/>
        <w:ind w:firstLine="560" w:firstLineChars="200"/>
        <w:jc w:val="center"/>
        <w:textAlignment w:val="auto"/>
        <w:rPr>
          <w:rFonts w:hint="eastAsia" w:ascii="微软雅黑" w:hAnsi="微软雅黑" w:eastAsia="微软雅黑"/>
          <w:sz w:val="28"/>
          <w:szCs w:val="28"/>
          <w:lang w:val="en-US" w:eastAsia="zh-CN"/>
        </w:rPr>
      </w:pPr>
      <w:r>
        <w:rPr>
          <w:rFonts w:hint="eastAsia" w:ascii="微软雅黑" w:hAnsi="微软雅黑" w:eastAsia="微软雅黑"/>
          <w:sz w:val="28"/>
          <w:szCs w:val="28"/>
          <w:lang w:val="en-US" w:eastAsia="zh-CN"/>
        </w:rPr>
        <w:t>阿联酋近年来在家用纺织品市场上展现出了强劲的增长势头。据最新统计数据显示，今年阿联酋家用纺织品市场的收入已经超过了1.4亿美元。据预测，在2024年至2029年的预测期内，阿联酋家用纺织品市场有望实现超过4%的复合年增长率。</w:t>
      </w:r>
    </w:p>
    <w:p w14:paraId="46296660">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微软雅黑" w:hAnsi="微软雅黑" w:eastAsia="微软雅黑"/>
          <w:sz w:val="28"/>
          <w:szCs w:val="28"/>
          <w:lang w:val="en-US" w:eastAsia="zh-CN"/>
        </w:rPr>
      </w:pPr>
      <w:r>
        <w:rPr>
          <w:rFonts w:hint="eastAsia" w:ascii="微软雅黑" w:hAnsi="微软雅黑" w:eastAsia="微软雅黑"/>
          <w:sz w:val="28"/>
          <w:szCs w:val="28"/>
          <w:lang w:val="en-US" w:eastAsia="zh-CN"/>
        </w:rPr>
        <w:t>阿联酋的纺织品行业，作为继石油行业之后的第二大市场，其发展前景广阔，具有全球市场扩张的潜力。其中，阿布扎比作为阿联酋的首都，凭借其独特的地理位置和资源优势，成为家用纺织品行业的理想商业枢纽。阿布扎比位于中东地区的战略要地，不仅交通便捷，还拥有完善的基础设施和尖端的商业设施，为家用纺织业的发展提供了有力支持。</w:t>
      </w:r>
    </w:p>
    <w:p w14:paraId="173268E2">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微软雅黑" w:hAnsi="微软雅黑" w:eastAsia="微软雅黑"/>
          <w:sz w:val="28"/>
          <w:szCs w:val="28"/>
          <w:lang w:val="en-US" w:eastAsia="zh-CN"/>
        </w:rPr>
      </w:pPr>
      <w:r>
        <w:rPr>
          <w:rFonts w:hint="eastAsia" w:ascii="微软雅黑" w:hAnsi="微软雅黑" w:eastAsia="微软雅黑"/>
          <w:sz w:val="28"/>
          <w:szCs w:val="28"/>
          <w:lang w:val="en-US" w:eastAsia="zh-CN"/>
        </w:rPr>
        <w:t>阿布扎比的基础设施建设堪称世界一流，其现代交通网络覆盖了整个城市，为货物运输和人员流动提供了极大的便利。此外，阿布扎比还拥有先进的仓储系统和高效的物流体系，使得家用纺织品能够快速、准确地送达全球各地。这些优势条件为阿布扎比吸引了大量的家用纺织业企业入驻，使得这里成为了全球家用纺织品贸易的重要集散地。</w:t>
      </w:r>
    </w:p>
    <w:p w14:paraId="6AADCAD8">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微软雅黑" w:hAnsi="微软雅黑" w:eastAsia="微软雅黑"/>
          <w:sz w:val="28"/>
          <w:szCs w:val="28"/>
          <w:lang w:val="en-US" w:eastAsia="zh-CN"/>
        </w:rPr>
      </w:pPr>
      <w:r>
        <w:rPr>
          <w:rFonts w:hint="eastAsia" w:ascii="微软雅黑" w:hAnsi="微软雅黑" w:eastAsia="微软雅黑"/>
          <w:sz w:val="28"/>
          <w:szCs w:val="28"/>
          <w:lang w:val="en-US" w:eastAsia="zh-CN"/>
        </w:rPr>
        <w:t>除了基础设施的优势外，阿布扎比还致力于经济多元化和可持续发展。政府出台了一系列政策，鼓励家用纺织业企业进行技术创新和产业升级，以提高产品的质量和竞争力。同时，阿布扎比还积极推动环保和可持续发展理念，倡导企业采用环保材料和生产方式，以减少对环境的负面影响。这些举措为家用纺织业的发展创造了更加有利的环境。</w:t>
      </w:r>
    </w:p>
    <w:p w14:paraId="4EBC6FE2">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微软雅黑" w:hAnsi="微软雅黑" w:eastAsia="微软雅黑"/>
          <w:sz w:val="28"/>
          <w:szCs w:val="28"/>
          <w:lang w:val="en-US" w:eastAsia="zh-CN"/>
        </w:rPr>
      </w:pPr>
      <w:r>
        <w:rPr>
          <w:rFonts w:hint="eastAsia" w:ascii="微软雅黑" w:hAnsi="微软雅黑" w:eastAsia="微软雅黑"/>
          <w:sz w:val="28"/>
          <w:szCs w:val="28"/>
          <w:lang w:val="en-US" w:eastAsia="zh-CN"/>
        </w:rPr>
        <w:t>随着阿联酋经济结构的转型和升级，制造业、零售业和室内设计等行业的企业也迎来了更多的商机。尤其是旅游业和房地产行业的快速发展，为家居纺织业提供了广阔的市场空间。越来越多的酒店、度假村和住宅开发项目需要高品质的家居纺织品来装点空间，提升品质。这为家用纺织业企业提供了丰富的商机和发展空间。</w:t>
      </w:r>
    </w:p>
    <w:p w14:paraId="294FD81D">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微软雅黑" w:hAnsi="微软雅黑" w:eastAsia="微软雅黑"/>
          <w:sz w:val="28"/>
          <w:szCs w:val="28"/>
          <w:lang w:val="en-US" w:eastAsia="zh-CN"/>
        </w:rPr>
      </w:pPr>
      <w:r>
        <w:rPr>
          <w:rFonts w:hint="eastAsia" w:ascii="微软雅黑" w:hAnsi="微软雅黑" w:eastAsia="微软雅黑"/>
          <w:sz w:val="28"/>
          <w:szCs w:val="28"/>
          <w:lang w:val="en-US" w:eastAsia="zh-CN"/>
        </w:rPr>
        <w:t>此外，在阿联酋2030愿景中对可持续性和创新的强调与家居纺织业中的全球 趋势相一致。随着消费者对环保和道德生产的关注度不断提高，他们越来越倾向于选择既时尚又可持续的家居纺织品。这一趋势为家用纺织业企业提供了巨大的市场机遇。</w:t>
      </w:r>
    </w:p>
    <w:p w14:paraId="6A8E8539">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微软雅黑" w:hAnsi="微软雅黑" w:eastAsia="微软雅黑"/>
          <w:sz w:val="28"/>
          <w:szCs w:val="28"/>
          <w:lang w:val="en-US" w:eastAsia="zh-CN"/>
        </w:rPr>
      </w:pPr>
      <w:r>
        <w:rPr>
          <w:rFonts w:hint="eastAsia" w:ascii="微软雅黑" w:hAnsi="微软雅黑" w:eastAsia="微软雅黑"/>
          <w:sz w:val="28"/>
          <w:szCs w:val="28"/>
          <w:lang w:val="en-US" w:eastAsia="zh-CN"/>
        </w:rPr>
        <w:t>阿联酋家用纺织品市场具有广阔的发展前景和巨大的市场潜力。随着基础设施的完善、政策的支持和市场需求的增长，该行业有望在未来几年内实现更加快速的发展。</w:t>
      </w:r>
    </w:p>
    <w:p w14:paraId="78CA7639">
      <w:pPr>
        <w:keepNext w:val="0"/>
        <w:keepLines w:val="0"/>
        <w:widowControl/>
        <w:suppressLineNumbers w:val="0"/>
        <w:jc w:val="left"/>
        <w:rPr>
          <w:rFonts w:hint="eastAsia" w:ascii="微软雅黑 Light" w:hAnsi="微软雅黑 Light" w:eastAsia="微软雅黑 Light" w:cs="微软雅黑 Light"/>
          <w:color w:val="2E2E2E"/>
          <w:kern w:val="0"/>
          <w:sz w:val="22"/>
          <w:szCs w:val="22"/>
          <w:lang w:val="en-US" w:eastAsia="zh-CN" w:bidi="ar"/>
        </w:rPr>
      </w:pPr>
    </w:p>
    <w:p w14:paraId="1422E4AF">
      <w:pPr>
        <w:keepNext w:val="0"/>
        <w:keepLines w:val="0"/>
        <w:pageBreakBefore w:val="0"/>
        <w:widowControl/>
        <w:kinsoku w:val="0"/>
        <w:wordWrap/>
        <w:overflowPunct/>
        <w:topLinePunct w:val="0"/>
        <w:autoSpaceDE w:val="0"/>
        <w:autoSpaceDN w:val="0"/>
        <w:bidi w:val="0"/>
        <w:adjustRightInd w:val="0"/>
        <w:snapToGrid/>
        <w:spacing w:line="360" w:lineRule="auto"/>
        <w:jc w:val="both"/>
        <w:textAlignment w:val="baseline"/>
        <w:rPr>
          <w:rFonts w:hint="eastAsia" w:ascii="微软雅黑" w:hAnsi="微软雅黑" w:eastAsia="微软雅黑" w:cs="微软雅黑"/>
          <w:b/>
          <w:bCs/>
          <w:color w:val="auto"/>
          <w:sz w:val="40"/>
          <w:szCs w:val="40"/>
          <w:lang w:val="en-US" w:eastAsia="zh-CN"/>
        </w:rPr>
      </w:pPr>
    </w:p>
    <w:p w14:paraId="2F0582E1">
      <w:pPr>
        <w:keepNext w:val="0"/>
        <w:keepLines w:val="0"/>
        <w:pageBreakBefore w:val="0"/>
        <w:widowControl/>
        <w:kinsoku w:val="0"/>
        <w:wordWrap/>
        <w:overflowPunct/>
        <w:topLinePunct w:val="0"/>
        <w:autoSpaceDE w:val="0"/>
        <w:autoSpaceDN w:val="0"/>
        <w:bidi w:val="0"/>
        <w:adjustRightInd w:val="0"/>
        <w:snapToGrid/>
        <w:spacing w:line="360" w:lineRule="auto"/>
        <w:jc w:val="both"/>
        <w:textAlignment w:val="baseline"/>
        <w:rPr>
          <w:position w:val="-71"/>
        </w:rPr>
      </w:pPr>
      <w:r>
        <w:rPr>
          <w:rFonts w:hint="eastAsia" w:ascii="微软雅黑" w:hAnsi="微软雅黑" w:eastAsia="微软雅黑" w:cs="微软雅黑"/>
          <w:b/>
          <w:bCs/>
          <w:color w:val="auto"/>
          <w:sz w:val="40"/>
          <w:szCs w:val="40"/>
          <w:lang w:val="en-US" w:eastAsia="zh-CN"/>
        </w:rPr>
        <w:t>招展范围</w:t>
      </w:r>
    </w:p>
    <w:p w14:paraId="3CB6EA2D">
      <w:pPr>
        <w:keepNext w:val="0"/>
        <w:keepLines w:val="0"/>
        <w:pageBreakBefore w:val="0"/>
        <w:widowControl/>
        <w:kinsoku w:val="0"/>
        <w:wordWrap/>
        <w:overflowPunct/>
        <w:topLinePunct w:val="0"/>
        <w:autoSpaceDE w:val="0"/>
        <w:autoSpaceDN w:val="0"/>
        <w:bidi w:val="0"/>
        <w:adjustRightInd w:val="0"/>
        <w:snapToGrid/>
        <w:spacing w:line="360" w:lineRule="auto"/>
        <w:jc w:val="both"/>
        <w:textAlignment w:val="baseline"/>
        <w:rPr>
          <w:rFonts w:hint="eastAsia" w:ascii="微软雅黑" w:hAnsi="微软雅黑" w:eastAsia="微软雅黑" w:cs="宋体"/>
          <w:kern w:val="0"/>
          <w:sz w:val="43"/>
          <w:szCs w:val="43"/>
          <w:lang w:val="en-US" w:eastAsia="zh-CN"/>
        </w:rPr>
      </w:pPr>
      <w:r>
        <w:rPr>
          <w:position w:val="-71"/>
        </w:rPr>
        <w:drawing>
          <wp:inline distT="0" distB="0" distL="114300" distR="114300">
            <wp:extent cx="6422390" cy="2728595"/>
            <wp:effectExtent l="0" t="0" r="16510" b="14605"/>
            <wp:docPr id="1" name="http://photo-static-api.fotomore.com/creative/vcg/400/version23/VCG41155285789.jpg?uid=386&amp;timestamp=1716190955&amp;sign=aafdfe0c7ddc0dad85167a2756167b31" descr="templates\picture_hover\&amp;pky130_sjzg_VCG41155285789&amp;"/>
            <wp:cNvGraphicFramePr>
              <a:extLst xmlns:a="http://schemas.openxmlformats.org/drawingml/2006/main">
                <a:ext uri="{7FBC4E63-A832-4D11-8238-D91031DB1400}">
                  <s:tag xmlns="http://www.wps.cn/officeDocument/2013/wpsCustomData" xmlns:s="http://www.wps.cn/officeDocument/2013/wpsCustomData">
                    <s:item s:name="KSO_DOCER_RESOURCE_TRACE_INFO" s:val="{&quot;id&quot;:&quot;0_sjzg_VCG41155285789&quot;,&quot;origin&quot;:0,&quot;type&quot;:&quot;pictures&quot;,&quot;user&quot;:&quot;1558062249&quot;}"/>
                  </s:tag>
                </a:ext>
              </a:extLst>
            </wp:cNvGraphicFramePr>
            <a:graphic xmlns:a="http://schemas.openxmlformats.org/drawingml/2006/main">
              <a:graphicData uri="http://schemas.openxmlformats.org/drawingml/2006/picture">
                <pic:pic xmlns:pic="http://schemas.openxmlformats.org/drawingml/2006/picture">
                  <pic:nvPicPr>
                    <pic:cNvPr id="1" name="http://photo-static-api.fotomore.com/creative/vcg/400/version23/VCG41155285789.jpg?uid=386&amp;timestamp=1716190955&amp;sign=aafdfe0c7ddc0dad85167a2756167b31" descr="templates\picture_hover\&amp;pky130_sjzg_VCG41155285789&amp;"/>
                    <pic:cNvPicPr/>
                  </pic:nvPicPr>
                  <pic:blipFill>
                    <a:blip r:embed="rId8"/>
                    <a:srcRect t="20084"/>
                    <a:stretch>
                      <a:fillRect/>
                    </a:stretch>
                  </pic:blipFill>
                  <pic:spPr>
                    <a:xfrm>
                      <a:off x="0" y="0"/>
                      <a:ext cx="6422390" cy="2728595"/>
                    </a:xfrm>
                    <a:prstGeom prst="rect">
                      <a:avLst/>
                    </a:prstGeom>
                  </pic:spPr>
                </pic:pic>
              </a:graphicData>
            </a:graphic>
          </wp:inline>
        </w:drawing>
      </w:r>
    </w:p>
    <w:p w14:paraId="190A806E">
      <w:pPr>
        <w:keepNext w:val="0"/>
        <w:keepLines w:val="0"/>
        <w:pageBreakBefore w:val="0"/>
        <w:widowControl w:val="0"/>
        <w:numPr>
          <w:ilvl w:val="0"/>
          <w:numId w:val="1"/>
        </w:numPr>
        <w:kinsoku/>
        <w:wordWrap/>
        <w:overflowPunct/>
        <w:topLinePunct w:val="0"/>
        <w:autoSpaceDE/>
        <w:autoSpaceDN/>
        <w:bidi w:val="0"/>
        <w:adjustRightInd/>
        <w:snapToGrid/>
        <w:ind w:left="420" w:leftChars="0" w:hanging="420" w:firstLineChars="0"/>
        <w:textAlignment w:val="auto"/>
        <w:rPr>
          <w:rFonts w:hint="eastAsia" w:ascii="微软雅黑" w:hAnsi="微软雅黑" w:eastAsia="微软雅黑"/>
          <w:sz w:val="28"/>
          <w:szCs w:val="28"/>
          <w:lang w:val="en-US" w:eastAsia="zh-CN"/>
        </w:rPr>
      </w:pPr>
      <w:r>
        <w:rPr>
          <w:rFonts w:hint="eastAsia" w:ascii="微软雅黑" w:hAnsi="微软雅黑" w:eastAsia="微软雅黑"/>
          <w:b/>
          <w:bCs/>
          <w:sz w:val="28"/>
          <w:szCs w:val="28"/>
          <w:lang w:val="en-US" w:eastAsia="zh-CN"/>
        </w:rPr>
        <w:t>家居纺织：</w:t>
      </w:r>
      <w:r>
        <w:rPr>
          <w:rFonts w:hint="eastAsia" w:ascii="微软雅黑" w:hAnsi="微软雅黑" w:eastAsia="微软雅黑"/>
          <w:sz w:val="28"/>
          <w:szCs w:val="28"/>
          <w:lang w:val="en-US" w:eastAsia="zh-CN"/>
        </w:rPr>
        <w:t xml:space="preserve">床上用品、窗帘、沙发布 装饰布 地毯 厨卫用纺织品，家纺半成品，包装袋等；  </w:t>
      </w:r>
    </w:p>
    <w:p w14:paraId="323CBD98">
      <w:pPr>
        <w:keepNext w:val="0"/>
        <w:keepLines w:val="0"/>
        <w:pageBreakBefore w:val="0"/>
        <w:widowControl w:val="0"/>
        <w:numPr>
          <w:ilvl w:val="0"/>
          <w:numId w:val="1"/>
        </w:numPr>
        <w:kinsoku/>
        <w:wordWrap/>
        <w:overflowPunct/>
        <w:topLinePunct w:val="0"/>
        <w:autoSpaceDE/>
        <w:autoSpaceDN/>
        <w:bidi w:val="0"/>
        <w:adjustRightInd/>
        <w:snapToGrid/>
        <w:ind w:left="420" w:leftChars="0" w:hanging="420" w:firstLineChars="0"/>
        <w:textAlignment w:val="auto"/>
        <w:rPr>
          <w:rFonts w:hint="eastAsia" w:ascii="微软雅黑" w:hAnsi="微软雅黑" w:eastAsia="微软雅黑"/>
          <w:sz w:val="28"/>
          <w:szCs w:val="28"/>
          <w:lang w:val="en-US" w:eastAsia="zh-CN"/>
        </w:rPr>
      </w:pPr>
      <w:r>
        <w:rPr>
          <w:rFonts w:hint="eastAsia" w:ascii="微软雅黑" w:hAnsi="微软雅黑" w:eastAsia="微软雅黑"/>
          <w:b/>
          <w:bCs/>
          <w:sz w:val="28"/>
          <w:szCs w:val="28"/>
          <w:lang w:val="en-US" w:eastAsia="zh-CN"/>
        </w:rPr>
        <w:t>家居装饰：</w:t>
      </w:r>
      <w:r>
        <w:rPr>
          <w:rFonts w:hint="eastAsia" w:ascii="微软雅黑" w:hAnsi="微软雅黑" w:eastAsia="微软雅黑"/>
          <w:sz w:val="28"/>
          <w:szCs w:val="28"/>
          <w:lang w:val="en-US" w:eastAsia="zh-CN"/>
        </w:rPr>
        <w:t xml:space="preserve">靠垫、毯子、餐桌布和装饰配件等； </w:t>
      </w:r>
    </w:p>
    <w:p w14:paraId="295B5DDB">
      <w:pPr>
        <w:keepNext w:val="0"/>
        <w:keepLines w:val="0"/>
        <w:pageBreakBefore w:val="0"/>
        <w:widowControl w:val="0"/>
        <w:numPr>
          <w:ilvl w:val="0"/>
          <w:numId w:val="1"/>
        </w:numPr>
        <w:kinsoku/>
        <w:wordWrap/>
        <w:overflowPunct/>
        <w:topLinePunct w:val="0"/>
        <w:autoSpaceDE/>
        <w:autoSpaceDN/>
        <w:bidi w:val="0"/>
        <w:adjustRightInd/>
        <w:snapToGrid/>
        <w:ind w:left="420" w:leftChars="0" w:hanging="420" w:firstLineChars="0"/>
        <w:textAlignment w:val="auto"/>
        <w:rPr>
          <w:rFonts w:hint="eastAsia" w:ascii="微软雅黑" w:hAnsi="微软雅黑" w:eastAsia="微软雅黑"/>
          <w:sz w:val="28"/>
          <w:szCs w:val="28"/>
          <w:lang w:val="en-US" w:eastAsia="zh-CN"/>
        </w:rPr>
      </w:pPr>
      <w:r>
        <w:rPr>
          <w:rFonts w:hint="eastAsia" w:ascii="微软雅黑" w:hAnsi="微软雅黑" w:eastAsia="微软雅黑"/>
          <w:b/>
          <w:bCs/>
          <w:sz w:val="28"/>
          <w:szCs w:val="28"/>
          <w:lang w:val="en-US" w:eastAsia="zh-CN"/>
        </w:rPr>
        <w:t>原材料：</w:t>
      </w:r>
      <w:r>
        <w:rPr>
          <w:rFonts w:hint="eastAsia" w:ascii="微软雅黑" w:hAnsi="微软雅黑" w:eastAsia="微软雅黑"/>
          <w:sz w:val="28"/>
          <w:szCs w:val="28"/>
          <w:lang w:val="en-US" w:eastAsia="zh-CN"/>
        </w:rPr>
        <w:t>面料、纱线、染料和化学品等；</w:t>
      </w:r>
    </w:p>
    <w:p w14:paraId="3A61CD7C">
      <w:pPr>
        <w:keepNext w:val="0"/>
        <w:keepLines w:val="0"/>
        <w:pageBreakBefore w:val="0"/>
        <w:widowControl w:val="0"/>
        <w:numPr>
          <w:ilvl w:val="0"/>
          <w:numId w:val="1"/>
        </w:numPr>
        <w:kinsoku/>
        <w:wordWrap/>
        <w:overflowPunct/>
        <w:topLinePunct w:val="0"/>
        <w:autoSpaceDE/>
        <w:autoSpaceDN/>
        <w:bidi w:val="0"/>
        <w:adjustRightInd/>
        <w:snapToGrid/>
        <w:ind w:left="420" w:leftChars="0" w:hanging="420" w:firstLineChars="0"/>
        <w:textAlignment w:val="auto"/>
        <w:rPr>
          <w:rFonts w:hint="eastAsia" w:ascii="微软雅黑" w:hAnsi="微软雅黑" w:eastAsia="微软雅黑"/>
          <w:sz w:val="28"/>
          <w:szCs w:val="28"/>
          <w:lang w:val="en-US" w:eastAsia="zh-CN"/>
        </w:rPr>
      </w:pPr>
      <w:r>
        <w:rPr>
          <w:rFonts w:hint="eastAsia" w:ascii="微软雅黑" w:hAnsi="微软雅黑" w:eastAsia="微软雅黑"/>
          <w:b/>
          <w:bCs/>
          <w:sz w:val="28"/>
          <w:szCs w:val="28"/>
          <w:lang w:val="en-US" w:eastAsia="zh-CN"/>
        </w:rPr>
        <w:t>辅料：</w:t>
      </w:r>
      <w:r>
        <w:rPr>
          <w:rFonts w:hint="eastAsia" w:ascii="微软雅黑" w:hAnsi="微软雅黑" w:eastAsia="微软雅黑"/>
          <w:sz w:val="28"/>
          <w:szCs w:val="28"/>
          <w:lang w:val="en-US" w:eastAsia="zh-CN"/>
        </w:rPr>
        <w:t>钮扣、拉链、商标、反光材料、刺绣、花边、绣品、里布、衬布、垫肩、吊牌、衣架等；</w:t>
      </w:r>
    </w:p>
    <w:p w14:paraId="4AAB4DCC">
      <w:pPr>
        <w:keepNext w:val="0"/>
        <w:keepLines w:val="0"/>
        <w:pageBreakBefore w:val="0"/>
        <w:widowControl w:val="0"/>
        <w:numPr>
          <w:ilvl w:val="0"/>
          <w:numId w:val="1"/>
        </w:numPr>
        <w:kinsoku/>
        <w:wordWrap/>
        <w:overflowPunct/>
        <w:topLinePunct w:val="0"/>
        <w:autoSpaceDE/>
        <w:autoSpaceDN/>
        <w:bidi w:val="0"/>
        <w:adjustRightInd/>
        <w:snapToGrid/>
        <w:ind w:left="420" w:leftChars="0" w:hanging="420" w:firstLineChars="0"/>
        <w:textAlignment w:val="auto"/>
        <w:rPr>
          <w:rFonts w:hint="eastAsia" w:ascii="微软雅黑" w:hAnsi="微软雅黑" w:eastAsia="微软雅黑"/>
          <w:sz w:val="28"/>
          <w:szCs w:val="28"/>
          <w:lang w:val="en-US" w:eastAsia="zh-CN"/>
        </w:rPr>
      </w:pPr>
      <w:r>
        <w:rPr>
          <w:rFonts w:hint="eastAsia" w:ascii="微软雅黑" w:hAnsi="微软雅黑" w:eastAsia="微软雅黑"/>
          <w:b/>
          <w:bCs/>
          <w:sz w:val="28"/>
          <w:szCs w:val="28"/>
          <w:lang w:val="en-US" w:eastAsia="zh-CN"/>
        </w:rPr>
        <w:t>电子商务平台推广：</w:t>
      </w:r>
      <w:r>
        <w:rPr>
          <w:rFonts w:hint="eastAsia" w:ascii="微软雅黑" w:hAnsi="微软雅黑" w:eastAsia="微软雅黑"/>
          <w:sz w:val="28"/>
          <w:szCs w:val="28"/>
          <w:lang w:val="en-US" w:eastAsia="zh-CN"/>
        </w:rPr>
        <w:t>数字市场等；</w:t>
      </w:r>
    </w:p>
    <w:p w14:paraId="4664D25E">
      <w:pPr>
        <w:keepNext w:val="0"/>
        <w:keepLines w:val="0"/>
        <w:pageBreakBefore w:val="0"/>
        <w:widowControl w:val="0"/>
        <w:numPr>
          <w:ilvl w:val="0"/>
          <w:numId w:val="1"/>
        </w:numPr>
        <w:kinsoku/>
        <w:wordWrap/>
        <w:overflowPunct/>
        <w:topLinePunct w:val="0"/>
        <w:autoSpaceDE/>
        <w:autoSpaceDN/>
        <w:bidi w:val="0"/>
        <w:adjustRightInd/>
        <w:snapToGrid/>
        <w:ind w:left="420" w:leftChars="0" w:hanging="420" w:firstLineChars="0"/>
        <w:textAlignment w:val="auto"/>
        <w:rPr>
          <w:rFonts w:hint="eastAsia" w:ascii="微软雅黑" w:hAnsi="微软雅黑" w:eastAsia="微软雅黑"/>
          <w:sz w:val="28"/>
          <w:szCs w:val="28"/>
          <w:lang w:val="en-US" w:eastAsia="zh-CN"/>
        </w:rPr>
      </w:pPr>
      <w:r>
        <w:rPr>
          <w:rFonts w:hint="eastAsia" w:ascii="微软雅黑" w:hAnsi="微软雅黑" w:eastAsia="微软雅黑"/>
          <w:b/>
          <w:bCs/>
          <w:sz w:val="28"/>
          <w:szCs w:val="28"/>
          <w:lang w:val="en-US" w:eastAsia="zh-CN"/>
        </w:rPr>
        <w:t>趋势预测机构：</w:t>
      </w:r>
      <w:r>
        <w:rPr>
          <w:rFonts w:hint="eastAsia" w:ascii="微软雅黑" w:hAnsi="微软雅黑" w:eastAsia="微软雅黑"/>
          <w:sz w:val="28"/>
          <w:szCs w:val="28"/>
          <w:lang w:val="en-US" w:eastAsia="zh-CN"/>
        </w:rPr>
        <w:t>设计趋势、色彩搭配和消费者偏好等。</w:t>
      </w:r>
    </w:p>
    <w:p w14:paraId="4BAA1DDF">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微软雅黑" w:hAnsi="微软雅黑" w:eastAsia="微软雅黑"/>
          <w:sz w:val="28"/>
          <w:szCs w:val="28"/>
          <w:lang w:val="en-US" w:eastAsia="zh-CN"/>
        </w:rPr>
      </w:pPr>
    </w:p>
    <w:p w14:paraId="48C7020C">
      <w:pPr>
        <w:keepNext w:val="0"/>
        <w:keepLines w:val="0"/>
        <w:pageBreakBefore w:val="0"/>
        <w:widowControl/>
        <w:numPr>
          <w:ilvl w:val="0"/>
          <w:numId w:val="0"/>
        </w:numPr>
        <w:kinsoku w:val="0"/>
        <w:wordWrap/>
        <w:overflowPunct/>
        <w:topLinePunct w:val="0"/>
        <w:autoSpaceDE w:val="0"/>
        <w:autoSpaceDN w:val="0"/>
        <w:bidi w:val="0"/>
        <w:adjustRightInd w:val="0"/>
        <w:snapToGrid/>
        <w:spacing w:after="200" w:line="360" w:lineRule="auto"/>
        <w:ind w:leftChars="0"/>
        <w:jc w:val="both"/>
        <w:textAlignment w:val="baseline"/>
        <w:rPr>
          <w:rFonts w:hint="default" w:ascii="微软雅黑" w:hAnsi="微软雅黑" w:eastAsia="微软雅黑"/>
          <w:sz w:val="28"/>
          <w:szCs w:val="28"/>
          <w:lang w:val="en-US" w:eastAsia="zh-CN"/>
        </w:rPr>
      </w:pPr>
    </w:p>
    <w:sectPr>
      <w:pgSz w:w="11906" w:h="16838"/>
      <w:pgMar w:top="567" w:right="850" w:bottom="567" w:left="85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微软雅黑 Light">
    <w:panose1 w:val="020B0502040204020203"/>
    <w:charset w:val="86"/>
    <w:family w:val="auto"/>
    <w:pitch w:val="default"/>
    <w:sig w:usb0="80000287" w:usb1="2ACF001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BF9717"/>
    <w:multiLevelType w:val="singleLevel"/>
    <w:tmpl w:val="99BF9717"/>
    <w:lvl w:ilvl="0" w:tentative="0">
      <w:start w:val="1"/>
      <w:numFmt w:val="bullet"/>
      <w:lvlText w:val=""/>
      <w:lvlJc w:val="left"/>
      <w:pPr>
        <w:ind w:left="4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IwZTUyNjZlMWNiZTRhYWQ0OWNkYjI5YjM0NGI4NGUifQ=="/>
  </w:docVars>
  <w:rsids>
    <w:rsidRoot w:val="00000000"/>
    <w:rsid w:val="0067693C"/>
    <w:rsid w:val="0072044B"/>
    <w:rsid w:val="04CA3560"/>
    <w:rsid w:val="06E13031"/>
    <w:rsid w:val="0B365CE9"/>
    <w:rsid w:val="0C852620"/>
    <w:rsid w:val="0E9D2C8A"/>
    <w:rsid w:val="0F2C7498"/>
    <w:rsid w:val="12824B58"/>
    <w:rsid w:val="14077076"/>
    <w:rsid w:val="14191FE6"/>
    <w:rsid w:val="17A255E2"/>
    <w:rsid w:val="1A007CE5"/>
    <w:rsid w:val="1A61091A"/>
    <w:rsid w:val="1B7D3404"/>
    <w:rsid w:val="1CAD3428"/>
    <w:rsid w:val="200D23B5"/>
    <w:rsid w:val="218477E9"/>
    <w:rsid w:val="21BD5AAD"/>
    <w:rsid w:val="227F2DA5"/>
    <w:rsid w:val="24762851"/>
    <w:rsid w:val="25AB100E"/>
    <w:rsid w:val="26A22032"/>
    <w:rsid w:val="275453A8"/>
    <w:rsid w:val="27F80C31"/>
    <w:rsid w:val="28F91767"/>
    <w:rsid w:val="2F536FA6"/>
    <w:rsid w:val="35F06D1C"/>
    <w:rsid w:val="362970D6"/>
    <w:rsid w:val="36E510C1"/>
    <w:rsid w:val="3850214F"/>
    <w:rsid w:val="3A4436F9"/>
    <w:rsid w:val="3A766008"/>
    <w:rsid w:val="3C7513EC"/>
    <w:rsid w:val="3E5C0A57"/>
    <w:rsid w:val="3F115584"/>
    <w:rsid w:val="429F5051"/>
    <w:rsid w:val="436A63E7"/>
    <w:rsid w:val="43A6543F"/>
    <w:rsid w:val="46F36581"/>
    <w:rsid w:val="4BB01C48"/>
    <w:rsid w:val="51E41418"/>
    <w:rsid w:val="52C16149"/>
    <w:rsid w:val="532F7A3D"/>
    <w:rsid w:val="58134E48"/>
    <w:rsid w:val="58AC1A7C"/>
    <w:rsid w:val="59C0704D"/>
    <w:rsid w:val="5A640A2F"/>
    <w:rsid w:val="5BDC51D4"/>
    <w:rsid w:val="5CD94967"/>
    <w:rsid w:val="5D1D34E3"/>
    <w:rsid w:val="5E007B96"/>
    <w:rsid w:val="5EF03005"/>
    <w:rsid w:val="5F5B4221"/>
    <w:rsid w:val="62806114"/>
    <w:rsid w:val="630B3C1C"/>
    <w:rsid w:val="641D5A80"/>
    <w:rsid w:val="652142E4"/>
    <w:rsid w:val="65391B04"/>
    <w:rsid w:val="661E3B5C"/>
    <w:rsid w:val="66EB3D79"/>
    <w:rsid w:val="683242A3"/>
    <w:rsid w:val="6C8C6344"/>
    <w:rsid w:val="6E410AE6"/>
    <w:rsid w:val="6F803507"/>
    <w:rsid w:val="6FD967A8"/>
    <w:rsid w:val="703F2826"/>
    <w:rsid w:val="71BC1008"/>
    <w:rsid w:val="743E4599"/>
    <w:rsid w:val="75574A42"/>
    <w:rsid w:val="75D87472"/>
    <w:rsid w:val="76F55B87"/>
    <w:rsid w:val="781936D8"/>
    <w:rsid w:val="782C39D9"/>
    <w:rsid w:val="7A064BE3"/>
    <w:rsid w:val="7CDC520C"/>
    <w:rsid w:val="7D165246"/>
    <w:rsid w:val="7E1C5F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6">
    <w:name w:val="Body Text"/>
    <w:basedOn w:val="1"/>
    <w:semiHidden/>
    <w:qFormat/>
    <w:uiPriority w:val="0"/>
    <w:rPr>
      <w:rFonts w:ascii="微软雅黑" w:hAnsi="微软雅黑" w:eastAsia="微软雅黑" w:cs="微软雅黑"/>
      <w:sz w:val="21"/>
      <w:szCs w:val="21"/>
      <w:lang w:val="en-US" w:eastAsia="en-US" w:bidi="ar-SA"/>
    </w:rPr>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0">
    <w:name w:val="Hyperlink"/>
    <w:basedOn w:val="9"/>
    <w:qFormat/>
    <w:uiPriority w:val="0"/>
    <w:rPr>
      <w:color w:val="0000FF"/>
      <w:u w:val="single"/>
    </w:rPr>
  </w:style>
  <w:style w:type="table" w:customStyle="1" w:styleId="11">
    <w:name w:val="Table Normal"/>
    <w:semiHidden/>
    <w:unhideWhenUsed/>
    <w:qFormat/>
    <w:uiPriority w:val="0"/>
    <w:tblPr>
      <w:tblCellMar>
        <w:top w:w="0" w:type="dxa"/>
        <w:left w:w="0" w:type="dxa"/>
        <w:bottom w:w="0" w:type="dxa"/>
        <w:right w:w="0" w:type="dxa"/>
      </w:tblCellMar>
    </w:tblPr>
  </w:style>
  <w:style w:type="paragraph" w:styleId="12">
    <w:name w:val="List Paragraph"/>
    <w:basedOn w:val="1"/>
    <w:qFormat/>
    <w:uiPriority w:val="34"/>
    <w:pPr>
      <w:ind w:firstLine="420" w:firstLineChars="200"/>
    </w:pPr>
  </w:style>
  <w:style w:type="character" w:customStyle="1" w:styleId="13">
    <w:name w:val="font11"/>
    <w:basedOn w:val="9"/>
    <w:qFormat/>
    <w:uiPriority w:val="0"/>
    <w:rPr>
      <w:rFonts w:hint="eastAsia" w:ascii="微软雅黑" w:hAnsi="微软雅黑" w:eastAsia="微软雅黑" w:cs="微软雅黑"/>
      <w:color w:val="000000"/>
      <w:sz w:val="22"/>
      <w:szCs w:val="22"/>
      <w:u w:val="none"/>
    </w:rPr>
  </w:style>
  <w:style w:type="paragraph" w:customStyle="1" w:styleId="14">
    <w:name w:val="reader-word-layer"/>
    <w:basedOn w:val="1"/>
    <w:qFormat/>
    <w:uiPriority w:val="0"/>
    <w:pPr>
      <w:widowControl/>
      <w:spacing w:before="100" w:beforeAutospacing="1" w:after="100" w:afterAutospacing="1"/>
      <w:jc w:val="left"/>
    </w:pPr>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1264</Words>
  <Characters>1339</Characters>
  <Lines>0</Lines>
  <Paragraphs>0</Paragraphs>
  <TotalTime>9</TotalTime>
  <ScaleCrop>false</ScaleCrop>
  <LinksUpToDate>false</LinksUpToDate>
  <CharactersWithSpaces>1358</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2023-09-28T00:45:00Z</dcterms:created>
  <dc:creator>admin</dc:creator>
  <cp:lastModifiedBy>WPS_1699857115</cp:lastModifiedBy>
  <dcterms:modified xsi:type="dcterms:W3CDTF">2024-08-27T08:43:15Z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D587F0D87A854DE6A7F81288F7E8A489_12</vt:lpwstr>
  </property>
</Properties>
</file>