
<file path=[Content_Types].xml><?xml version="1.0" encoding="utf-8"?>
<Types xmlns="http://schemas.openxmlformats.org/package/2006/content-types">
  <Default Extension="jpeg" ContentType="image/jpeg"/>
  <Default Extension="JPG" ContentType="image/.jpg"/>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lang w:eastAsia="zh-CN"/>
        </w:rPr>
      </w:pPr>
      <w:r>
        <w:rPr>
          <w:rFonts w:hint="eastAsia" w:eastAsia="宋体"/>
          <w:lang w:eastAsia="zh-CN"/>
        </w:rPr>
        <w:drawing>
          <wp:inline distT="0" distB="0" distL="114300" distR="114300">
            <wp:extent cx="6426835" cy="2856865"/>
            <wp:effectExtent l="0" t="0" r="12065" b="635"/>
            <wp:docPr id="4" name="图片 4" descr="微信图片_202309271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927141834"/>
                    <pic:cNvPicPr>
                      <a:picLocks noChangeAspect="1"/>
                    </pic:cNvPicPr>
                  </pic:nvPicPr>
                  <pic:blipFill>
                    <a:blip r:embed="rId4"/>
                    <a:stretch>
                      <a:fillRect/>
                    </a:stretch>
                  </pic:blipFill>
                  <pic:spPr>
                    <a:xfrm>
                      <a:off x="0" y="0"/>
                      <a:ext cx="6426835" cy="2856865"/>
                    </a:xfrm>
                    <a:prstGeom prst="rect">
                      <a:avLst/>
                    </a:prstGeom>
                  </pic:spPr>
                </pic:pic>
              </a:graphicData>
            </a:graphic>
          </wp:inline>
        </w:drawing>
      </w:r>
    </w:p>
    <w:p>
      <w:pPr>
        <w:jc w:val="center"/>
        <w:rPr>
          <w:rFonts w:hint="default"/>
          <w:lang w:val="en-US"/>
        </w:rPr>
      </w:pPr>
      <w:r>
        <w:rPr>
          <w:rFonts w:hint="eastAsia" w:ascii="微软雅黑" w:hAnsi="微软雅黑" w:eastAsia="微软雅黑" w:cs="微软雅黑"/>
          <w:b/>
          <w:bCs/>
          <w:kern w:val="0"/>
          <w:sz w:val="68"/>
          <w:szCs w:val="68"/>
          <w:lang w:val="en-US" w:eastAsia="zh-CN"/>
        </w:rPr>
        <w:t>2024年美国国际天然气展览会</w:t>
      </w:r>
    </w:p>
    <w:p>
      <w:pPr>
        <w:jc w:val="both"/>
      </w:pPr>
    </w:p>
    <w:p>
      <w:pPr>
        <w:jc w:val="center"/>
        <w:rPr>
          <w:rFonts w:hint="eastAsia" w:ascii="微软雅黑" w:hAnsi="微软雅黑" w:eastAsia="微软雅黑" w:cs="微软雅黑"/>
          <w:b/>
          <w:bCs/>
          <w:sz w:val="18"/>
          <w:szCs w:val="18"/>
          <w:lang w:val="en-US" w:eastAsia="zh-CN"/>
        </w:rPr>
      </w:pPr>
      <w:r>
        <w:drawing>
          <wp:inline distT="0" distB="0" distL="114300" distR="114300">
            <wp:extent cx="1704975" cy="682625"/>
            <wp:effectExtent l="0" t="0" r="9525" b="3175"/>
            <wp:docPr id="15" name="图片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18"/>
                    <pic:cNvPicPr>
                      <a:picLocks noChangeAspect="1"/>
                    </pic:cNvPicPr>
                  </pic:nvPicPr>
                  <pic:blipFill>
                    <a:blip r:embed="rId5"/>
                    <a:srcRect t="18561"/>
                    <a:stretch>
                      <a:fillRect/>
                    </a:stretch>
                  </pic:blipFill>
                  <pic:spPr>
                    <a:xfrm>
                      <a:off x="0" y="0"/>
                      <a:ext cx="1704975" cy="682625"/>
                    </a:xfrm>
                    <a:prstGeom prst="rect">
                      <a:avLst/>
                    </a:prstGeom>
                  </pic:spPr>
                </pic:pic>
              </a:graphicData>
            </a:graphic>
          </wp:inline>
        </w:drawing>
      </w:r>
    </w:p>
    <w:p>
      <w:pPr>
        <w:jc w:val="left"/>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展会介绍</w:t>
      </w:r>
    </w:p>
    <w:p>
      <w:pPr>
        <w:pStyle w:val="2"/>
        <w:spacing w:before="159" w:line="187" w:lineRule="auto"/>
        <w:ind w:left="169"/>
        <w:jc w:val="left"/>
        <w:rPr>
          <w:b/>
          <w:bCs/>
          <w:color w:val="050E17"/>
          <w:spacing w:val="9"/>
          <w:sz w:val="28"/>
          <w:szCs w:val="28"/>
        </w:rPr>
      </w:pPr>
      <w:r>
        <w:rPr>
          <w:rFonts w:hint="eastAsia"/>
          <w:b/>
          <w:bCs/>
          <w:color w:val="050E17"/>
          <w:spacing w:val="5"/>
          <w:sz w:val="28"/>
          <w:szCs w:val="28"/>
        </w:rPr>
        <w:t>●</w:t>
      </w:r>
      <w:r>
        <w:rPr>
          <w:rFonts w:hint="eastAsia"/>
          <w:b/>
          <w:bCs/>
          <w:color w:val="050E17"/>
          <w:spacing w:val="5"/>
          <w:sz w:val="28"/>
          <w:szCs w:val="28"/>
          <w:lang w:val="en-US" w:eastAsia="zh-CN"/>
        </w:rPr>
        <w:t xml:space="preserve"> </w:t>
      </w:r>
      <w:r>
        <w:rPr>
          <w:b/>
          <w:bCs/>
          <w:color w:val="050E17"/>
          <w:spacing w:val="5"/>
          <w:sz w:val="28"/>
          <w:szCs w:val="28"/>
        </w:rPr>
        <w:t>展会时间</w:t>
      </w:r>
      <w:r>
        <w:rPr>
          <w:rFonts w:hint="eastAsia"/>
          <w:b/>
          <w:bCs/>
          <w:color w:val="050E17"/>
          <w:spacing w:val="5"/>
          <w:sz w:val="28"/>
          <w:szCs w:val="28"/>
          <w:lang w:eastAsia="zh-CN"/>
        </w:rPr>
        <w:t>：</w:t>
      </w:r>
      <w:r>
        <w:rPr>
          <w:b/>
          <w:bCs/>
          <w:color w:val="050E17"/>
          <w:spacing w:val="5"/>
          <w:sz w:val="28"/>
          <w:szCs w:val="28"/>
        </w:rPr>
        <w:t>2024年</w:t>
      </w:r>
      <w:r>
        <w:rPr>
          <w:rFonts w:hint="eastAsia"/>
          <w:b/>
          <w:bCs/>
          <w:color w:val="050E17"/>
          <w:spacing w:val="5"/>
          <w:sz w:val="28"/>
          <w:szCs w:val="28"/>
          <w:lang w:val="en-US" w:eastAsia="zh-CN"/>
        </w:rPr>
        <w:t>9</w:t>
      </w:r>
      <w:r>
        <w:rPr>
          <w:b/>
          <w:bCs/>
          <w:color w:val="050E17"/>
          <w:spacing w:val="5"/>
          <w:sz w:val="28"/>
          <w:szCs w:val="28"/>
        </w:rPr>
        <w:t>月</w:t>
      </w:r>
      <w:r>
        <w:rPr>
          <w:rFonts w:hint="eastAsia"/>
          <w:b/>
          <w:bCs/>
          <w:color w:val="050E17"/>
          <w:spacing w:val="5"/>
          <w:sz w:val="28"/>
          <w:szCs w:val="28"/>
          <w:lang w:val="en-US" w:eastAsia="zh-CN"/>
        </w:rPr>
        <w:t>17</w:t>
      </w:r>
      <w:r>
        <w:rPr>
          <w:b/>
          <w:bCs/>
          <w:color w:val="050E17"/>
          <w:spacing w:val="5"/>
          <w:sz w:val="28"/>
          <w:szCs w:val="28"/>
        </w:rPr>
        <w:t>-</w:t>
      </w:r>
      <w:r>
        <w:rPr>
          <w:rFonts w:hint="eastAsia"/>
          <w:b/>
          <w:bCs/>
          <w:color w:val="050E17"/>
          <w:spacing w:val="5"/>
          <w:sz w:val="28"/>
          <w:szCs w:val="28"/>
          <w:lang w:val="en-US" w:eastAsia="zh-CN"/>
        </w:rPr>
        <w:t>20</w:t>
      </w:r>
      <w:r>
        <w:rPr>
          <w:b/>
          <w:bCs/>
          <w:color w:val="050E17"/>
          <w:spacing w:val="5"/>
          <w:sz w:val="28"/>
          <w:szCs w:val="28"/>
        </w:rPr>
        <w:t>日</w:t>
      </w:r>
      <w:r>
        <w:rPr>
          <w:rFonts w:hint="eastAsia"/>
          <w:b/>
          <w:bCs/>
          <w:color w:val="050E17"/>
          <w:spacing w:val="5"/>
          <w:sz w:val="28"/>
          <w:szCs w:val="28"/>
          <w:lang w:val="en-US" w:eastAsia="zh-CN"/>
        </w:rPr>
        <w:t xml:space="preserve">        </w:t>
      </w:r>
      <w:r>
        <w:rPr>
          <w:b/>
          <w:bCs/>
          <w:color w:val="050E17"/>
          <w:spacing w:val="9"/>
          <w:sz w:val="28"/>
          <w:szCs w:val="28"/>
        </w:rPr>
        <w:t>展会地点</w:t>
      </w:r>
      <w:r>
        <w:rPr>
          <w:rFonts w:hint="eastAsia"/>
          <w:b/>
          <w:bCs/>
          <w:color w:val="050E17"/>
          <w:spacing w:val="9"/>
          <w:sz w:val="28"/>
          <w:szCs w:val="28"/>
          <w:lang w:eastAsia="zh-CN"/>
        </w:rPr>
        <w:t>：</w:t>
      </w:r>
      <w:r>
        <w:rPr>
          <w:rFonts w:hint="eastAsia" w:ascii="微软雅黑" w:hAnsi="微软雅黑" w:eastAsia="微软雅黑"/>
          <w:b/>
          <w:sz w:val="28"/>
          <w:szCs w:val="28"/>
        </w:rPr>
        <w:t>美国休斯顿</w:t>
      </w:r>
    </w:p>
    <w:p>
      <w:pPr>
        <w:pStyle w:val="2"/>
        <w:spacing w:before="96" w:line="188" w:lineRule="auto"/>
        <w:ind w:left="169"/>
        <w:jc w:val="left"/>
        <w:rPr>
          <w:rFonts w:hint="default"/>
          <w:b/>
          <w:bCs/>
          <w:color w:val="E6330F"/>
          <w:spacing w:val="5"/>
          <w:sz w:val="28"/>
          <w:szCs w:val="28"/>
          <w:lang w:val="en-US" w:eastAsia="zh-CN"/>
        </w:rPr>
      </w:pPr>
      <w:r>
        <w:rPr>
          <w:rFonts w:hint="eastAsia"/>
          <w:b/>
          <w:bCs/>
          <w:color w:val="050E17"/>
          <w:spacing w:val="5"/>
          <w:sz w:val="28"/>
          <w:szCs w:val="28"/>
        </w:rPr>
        <w:t>●</w:t>
      </w:r>
      <w:r>
        <w:rPr>
          <w:rFonts w:hint="eastAsia"/>
          <w:b/>
          <w:bCs/>
          <w:color w:val="050E17"/>
          <w:spacing w:val="5"/>
          <w:sz w:val="28"/>
          <w:szCs w:val="28"/>
          <w:lang w:val="en-US" w:eastAsia="zh-CN"/>
        </w:rPr>
        <w:t xml:space="preserve"> </w:t>
      </w:r>
      <w:r>
        <w:rPr>
          <w:b/>
          <w:bCs/>
          <w:color w:val="050E17"/>
          <w:spacing w:val="5"/>
          <w:sz w:val="28"/>
          <w:szCs w:val="28"/>
        </w:rPr>
        <w:t>主办单位</w:t>
      </w:r>
      <w:r>
        <w:rPr>
          <w:rFonts w:hint="eastAsia"/>
          <w:b/>
          <w:bCs/>
          <w:color w:val="050E17"/>
          <w:spacing w:val="5"/>
          <w:sz w:val="28"/>
          <w:szCs w:val="28"/>
          <w:lang w:eastAsia="zh-CN"/>
        </w:rPr>
        <w:t>：</w:t>
      </w:r>
      <w:r>
        <w:rPr>
          <w:b/>
          <w:bCs/>
          <w:color w:val="050E17"/>
          <w:spacing w:val="5"/>
          <w:sz w:val="28"/>
          <w:szCs w:val="28"/>
        </w:rPr>
        <w:t>DMG</w:t>
      </w:r>
      <w:r>
        <w:rPr>
          <w:rFonts w:hint="eastAsia"/>
          <w:b/>
          <w:bCs/>
          <w:color w:val="050E17"/>
          <w:spacing w:val="5"/>
          <w:sz w:val="28"/>
          <w:szCs w:val="28"/>
          <w:lang w:val="en-US" w:eastAsia="zh-CN"/>
        </w:rPr>
        <w:t xml:space="preserve">                       </w:t>
      </w:r>
      <w:r>
        <w:rPr>
          <w:rFonts w:hint="eastAsia"/>
          <w:b/>
          <w:bCs/>
          <w:color w:val="auto"/>
          <w:spacing w:val="5"/>
          <w:sz w:val="28"/>
          <w:szCs w:val="28"/>
          <w:lang w:val="en-US" w:eastAsia="zh-CN"/>
        </w:rPr>
        <w:t>举办届数：第三十四届</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微软雅黑" w:hAnsi="微软雅黑" w:eastAsia="微软雅黑" w:cs="微软雅黑"/>
          <w:sz w:val="22"/>
          <w:szCs w:val="22"/>
        </w:rPr>
      </w:pPr>
      <w:r>
        <w:rPr>
          <w:position w:val="-61"/>
        </w:rPr>
        <w:drawing>
          <wp:anchor distT="0" distB="0" distL="0" distR="0" simplePos="0" relativeHeight="251659264" behindDoc="0" locked="0" layoutInCell="1" allowOverlap="1">
            <wp:simplePos x="0" y="0"/>
            <wp:positionH relativeFrom="column">
              <wp:posOffset>20320</wp:posOffset>
            </wp:positionH>
            <wp:positionV relativeFrom="paragraph">
              <wp:posOffset>243205</wp:posOffset>
            </wp:positionV>
            <wp:extent cx="6416675" cy="2728595"/>
            <wp:effectExtent l="0" t="0" r="3175" b="14605"/>
            <wp:wrapTopAndBottom/>
            <wp:docPr id="6" name="IM 6" descr="E:\李姗\MIE\招展资料—改后\2024.9\9. 17-20 美国国际天然气展 Gastech\F5fCRUGbEAAKoED.pngF5fCRUGbEAAKoED"/>
            <wp:cNvGraphicFramePr/>
            <a:graphic xmlns:a="http://schemas.openxmlformats.org/drawingml/2006/main">
              <a:graphicData uri="http://schemas.openxmlformats.org/drawingml/2006/picture">
                <pic:pic xmlns:pic="http://schemas.openxmlformats.org/drawingml/2006/picture">
                  <pic:nvPicPr>
                    <pic:cNvPr id="6" name="IM 6" descr="E:\李姗\MIE\招展资料—改后\2024.9\9. 17-20 美国国际天然气展 Gastech\F5fCRUGbEAAKoED.pngF5fCRUGbEAAKoED"/>
                    <pic:cNvPicPr/>
                  </pic:nvPicPr>
                  <pic:blipFill>
                    <a:blip r:embed="rId6"/>
                    <a:srcRect t="18135" b="18135"/>
                    <a:stretch>
                      <a:fillRect/>
                    </a:stretch>
                  </pic:blipFill>
                  <pic:spPr>
                    <a:xfrm>
                      <a:off x="0" y="0"/>
                      <a:ext cx="6416675" cy="27285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360" w:lineRule="auto"/>
        <w:ind w:firstLine="440" w:firstLineChars="200"/>
        <w:jc w:val="left"/>
        <w:textAlignment w:val="auto"/>
        <w:rPr>
          <w:rFonts w:hint="eastAsia" w:ascii="微软雅黑" w:hAnsi="微软雅黑" w:eastAsia="微软雅黑" w:cs="微软雅黑"/>
          <w:sz w:val="22"/>
          <w:szCs w:val="22"/>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sz w:val="28"/>
          <w:szCs w:val="28"/>
        </w:rPr>
      </w:pPr>
      <w:r>
        <w:rPr>
          <w:rFonts w:hint="eastAsia" w:ascii="微软雅黑" w:hAnsi="微软雅黑" w:eastAsia="微软雅黑"/>
          <w:sz w:val="28"/>
          <w:szCs w:val="28"/>
        </w:rPr>
        <w:t>GASTECH是全球领先和最具影响力的天然气、液化天然气和能源行业展览和论坛会议活动。GASTECH将吸引全球的知名企业</w:t>
      </w:r>
      <w:r>
        <w:rPr>
          <w:rFonts w:hint="eastAsia" w:ascii="微软雅黑" w:hAnsi="微软雅黑" w:eastAsia="微软雅黑"/>
          <w:sz w:val="28"/>
          <w:szCs w:val="28"/>
          <w:lang w:eastAsia="zh-CN"/>
        </w:rPr>
        <w:t>，</w:t>
      </w:r>
      <w:r>
        <w:rPr>
          <w:rFonts w:hint="eastAsia" w:ascii="微软雅黑" w:hAnsi="微软雅黑" w:eastAsia="微软雅黑"/>
          <w:sz w:val="28"/>
          <w:szCs w:val="28"/>
        </w:rPr>
        <w:t>在这里，您可以与全球展商及参展观众乃至政府机构现场对话，这是构建联络网的绝佳机会。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sz w:val="28"/>
          <w:szCs w:val="28"/>
        </w:rPr>
      </w:pPr>
      <w:r>
        <w:rPr>
          <w:rFonts w:hint="eastAsia" w:ascii="微软雅黑" w:hAnsi="微软雅黑" w:eastAsia="微软雅黑"/>
          <w:sz w:val="28"/>
          <w:szCs w:val="28"/>
        </w:rPr>
        <w:t xml:space="preserve">2023年GASTECH在新加坡顺利举办，以“塑造能源的未来”为主题，聚焦天然气、液化天然气、氢气、低碳解决方案等，设置航运与海洋展区、气候技术展区、氢气能源展区三大产业展区，吸引了来自100多个国家的750余家展商参展，并邀请到300余名多国部长级政府官员、企业总裁和商业领袖参加的技术论坛亲临展会现场进行演讲，现场促成了数十亿美元的合同。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sz w:val="28"/>
          <w:szCs w:val="28"/>
        </w:rPr>
      </w:pPr>
      <w:r>
        <w:rPr>
          <w:rFonts w:hint="eastAsia" w:ascii="微软雅黑" w:hAnsi="微软雅黑" w:eastAsia="微软雅黑"/>
          <w:sz w:val="28"/>
          <w:szCs w:val="28"/>
        </w:rPr>
        <w:t>第34届 GASTECH国际天然气展巡展至美国，将于2024年9月17-20日在美国开展，预计将有超过</w:t>
      </w:r>
      <w:r>
        <w:rPr>
          <w:rFonts w:hint="eastAsia" w:ascii="微软雅黑" w:hAnsi="微软雅黑" w:eastAsia="微软雅黑"/>
          <w:sz w:val="28"/>
          <w:szCs w:val="28"/>
          <w:lang w:val="en-US" w:eastAsia="zh-CN"/>
        </w:rPr>
        <w:t>800</w:t>
      </w:r>
      <w:r>
        <w:rPr>
          <w:rFonts w:hint="eastAsia" w:ascii="微软雅黑" w:hAnsi="微软雅黑" w:eastAsia="微软雅黑"/>
          <w:sz w:val="28"/>
          <w:szCs w:val="28"/>
        </w:rPr>
        <w:t>家企业参展，40，000余名国际观众参观，展览面积预计将超过22，000平方米。</w:t>
      </w:r>
    </w:p>
    <w:tbl>
      <w:tblPr>
        <w:tblStyle w:val="6"/>
        <w:tblpPr w:leftFromText="180" w:rightFromText="180" w:vertAnchor="text" w:horzAnchor="page" w:tblpXSpec="center" w:tblpY="137"/>
        <w:tblOverlap w:val="never"/>
        <w:tblW w:w="96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2"/>
        <w:gridCol w:w="2432"/>
        <w:gridCol w:w="2419"/>
        <w:gridCol w:w="2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2412" w:type="dxa"/>
            <w:shd w:val="clear" w:color="auto" w:fill="4069DD"/>
            <w:vAlign w:val="top"/>
          </w:tcPr>
          <w:p>
            <w:pPr>
              <w:spacing w:before="211" w:line="190" w:lineRule="auto"/>
              <w:ind w:left="685"/>
              <w:rPr>
                <w:rFonts w:ascii="微软雅黑" w:hAnsi="微软雅黑" w:eastAsia="微软雅黑" w:cs="微软雅黑"/>
                <w:sz w:val="28"/>
                <w:szCs w:val="28"/>
              </w:rPr>
            </w:pPr>
            <w:r>
              <w:rPr>
                <w:rFonts w:ascii="微软雅黑" w:hAnsi="微软雅黑" w:eastAsia="微软雅黑" w:cs="微软雅黑"/>
                <w:color w:val="FFFFFF"/>
                <w:spacing w:val="3"/>
                <w:sz w:val="28"/>
                <w:szCs w:val="28"/>
              </w:rPr>
              <w:t>国际展商</w:t>
            </w:r>
          </w:p>
        </w:tc>
        <w:tc>
          <w:tcPr>
            <w:tcW w:w="2432" w:type="dxa"/>
            <w:shd w:val="clear" w:color="auto" w:fill="4069DD"/>
            <w:vAlign w:val="top"/>
          </w:tcPr>
          <w:p>
            <w:pPr>
              <w:spacing w:before="210" w:line="189" w:lineRule="auto"/>
              <w:ind w:left="681"/>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参展人数</w:t>
            </w:r>
          </w:p>
        </w:tc>
        <w:tc>
          <w:tcPr>
            <w:tcW w:w="2419" w:type="dxa"/>
            <w:shd w:val="clear" w:color="auto" w:fill="4069DD"/>
            <w:vAlign w:val="top"/>
          </w:tcPr>
          <w:p>
            <w:pPr>
              <w:spacing w:before="210" w:line="191" w:lineRule="auto"/>
              <w:ind w:left="678"/>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辐射国家</w:t>
            </w:r>
          </w:p>
        </w:tc>
        <w:tc>
          <w:tcPr>
            <w:tcW w:w="2426" w:type="dxa"/>
            <w:shd w:val="clear" w:color="auto" w:fill="4069DD"/>
            <w:vAlign w:val="top"/>
          </w:tcPr>
          <w:p>
            <w:pPr>
              <w:spacing w:before="211" w:line="189" w:lineRule="auto"/>
              <w:ind w:left="679"/>
              <w:rPr>
                <w:rFonts w:ascii="微软雅黑" w:hAnsi="微软雅黑" w:eastAsia="微软雅黑" w:cs="微软雅黑"/>
                <w:sz w:val="28"/>
                <w:szCs w:val="28"/>
              </w:rPr>
            </w:pPr>
            <w:r>
              <w:rPr>
                <w:rFonts w:ascii="微软雅黑" w:hAnsi="微软雅黑" w:eastAsia="微软雅黑" w:cs="微软雅黑"/>
                <w:color w:val="FFFFFF"/>
                <w:spacing w:val="7"/>
                <w:sz w:val="28"/>
                <w:szCs w:val="28"/>
              </w:rPr>
              <w:t>展会面积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jc w:val="center"/>
        </w:trPr>
        <w:tc>
          <w:tcPr>
            <w:tcW w:w="2412" w:type="dxa"/>
            <w:vAlign w:val="top"/>
          </w:tcPr>
          <w:p>
            <w:pPr>
              <w:spacing w:before="227" w:line="214" w:lineRule="auto"/>
              <w:jc w:val="center"/>
              <w:rPr>
                <w:rFonts w:ascii="微软雅黑" w:hAnsi="微软雅黑" w:eastAsia="微软雅黑" w:cs="微软雅黑"/>
                <w:sz w:val="28"/>
                <w:szCs w:val="28"/>
              </w:rPr>
            </w:pPr>
            <w:r>
              <w:rPr>
                <w:rFonts w:hint="eastAsia" w:ascii="微软雅黑" w:hAnsi="微软雅黑" w:eastAsia="微软雅黑" w:cs="微软雅黑"/>
                <w:spacing w:val="-8"/>
                <w:sz w:val="28"/>
                <w:szCs w:val="28"/>
                <w:lang w:val="en-US" w:eastAsia="zh-CN"/>
              </w:rPr>
              <w:t>800</w:t>
            </w:r>
            <w:r>
              <w:rPr>
                <w:rFonts w:ascii="微软雅黑" w:hAnsi="微软雅黑" w:eastAsia="微软雅黑" w:cs="微软雅黑"/>
                <w:spacing w:val="-8"/>
                <w:sz w:val="28"/>
                <w:szCs w:val="28"/>
              </w:rPr>
              <w:t>+</w:t>
            </w:r>
          </w:p>
        </w:tc>
        <w:tc>
          <w:tcPr>
            <w:tcW w:w="2432" w:type="dxa"/>
            <w:vAlign w:val="top"/>
          </w:tcPr>
          <w:p>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spacing w:val="-3"/>
                <w:sz w:val="28"/>
                <w:szCs w:val="28"/>
                <w:lang w:val="en-US" w:eastAsia="zh-CN"/>
              </w:rPr>
              <w:t>40</w:t>
            </w:r>
            <w:r>
              <w:rPr>
                <w:rFonts w:ascii="微软雅黑" w:hAnsi="微软雅黑" w:eastAsia="微软雅黑" w:cs="微软雅黑"/>
                <w:spacing w:val="-3"/>
                <w:sz w:val="28"/>
                <w:szCs w:val="28"/>
              </w:rPr>
              <w:t>,000+</w:t>
            </w:r>
          </w:p>
        </w:tc>
        <w:tc>
          <w:tcPr>
            <w:tcW w:w="2419" w:type="dxa"/>
            <w:vAlign w:val="top"/>
          </w:tcPr>
          <w:p>
            <w:pPr>
              <w:spacing w:before="227" w:line="214" w:lineRule="auto"/>
              <w:ind w:left="933"/>
              <w:rPr>
                <w:rFonts w:ascii="微软雅黑" w:hAnsi="微软雅黑" w:eastAsia="微软雅黑" w:cs="微软雅黑"/>
                <w:sz w:val="28"/>
                <w:szCs w:val="28"/>
              </w:rPr>
            </w:pPr>
            <w:r>
              <w:rPr>
                <w:rFonts w:hint="eastAsia" w:ascii="微软雅黑" w:hAnsi="微软雅黑" w:eastAsia="微软雅黑" w:cs="微软雅黑"/>
                <w:color w:val="auto"/>
                <w:spacing w:val="-10"/>
                <w:sz w:val="28"/>
                <w:szCs w:val="28"/>
                <w:lang w:val="en-US" w:eastAsia="zh-CN"/>
              </w:rPr>
              <w:t>110</w:t>
            </w:r>
            <w:r>
              <w:rPr>
                <w:rFonts w:ascii="微软雅黑" w:hAnsi="微软雅黑" w:eastAsia="微软雅黑" w:cs="微软雅黑"/>
                <w:color w:val="auto"/>
                <w:spacing w:val="-10"/>
                <w:sz w:val="28"/>
                <w:szCs w:val="28"/>
              </w:rPr>
              <w:t>+</w:t>
            </w:r>
          </w:p>
        </w:tc>
        <w:tc>
          <w:tcPr>
            <w:tcW w:w="2426" w:type="dxa"/>
            <w:vAlign w:val="top"/>
          </w:tcPr>
          <w:p>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color w:val="auto"/>
                <w:spacing w:val="-3"/>
                <w:sz w:val="28"/>
                <w:szCs w:val="28"/>
                <w:lang w:val="en-US" w:eastAsia="zh-CN"/>
              </w:rPr>
              <w:t>22</w:t>
            </w:r>
            <w:r>
              <w:rPr>
                <w:rFonts w:ascii="微软雅黑" w:hAnsi="微软雅黑" w:eastAsia="微软雅黑" w:cs="微软雅黑"/>
                <w:color w:val="auto"/>
                <w:spacing w:val="-3"/>
                <w:sz w:val="28"/>
                <w:szCs w:val="28"/>
              </w:rPr>
              <w:t>,000+</w:t>
            </w:r>
          </w:p>
        </w:tc>
      </w:tr>
    </w:tbl>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18"/>
          <w:szCs w:val="18"/>
          <w:lang w:val="en-US" w:eastAsia="zh-CN"/>
        </w:rPr>
      </w:pP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rFonts w:hint="eastAsia" w:ascii="微软雅黑" w:hAnsi="微软雅黑" w:eastAsia="微软雅黑" w:cs="微软雅黑"/>
          <w:b/>
          <w:bCs/>
          <w:sz w:val="40"/>
          <w:szCs w:val="40"/>
          <w:lang w:val="en-US" w:eastAsia="zh-CN"/>
        </w:rPr>
        <w:t>市场机遇</w:t>
      </w:r>
    </w:p>
    <w:p>
      <w:pPr>
        <w:keepNext w:val="0"/>
        <w:keepLines w:val="0"/>
        <w:pageBreakBefore w:val="0"/>
        <w:widowControl/>
        <w:kinsoku w:val="0"/>
        <w:wordWrap/>
        <w:overflowPunct/>
        <w:topLinePunct w:val="0"/>
        <w:autoSpaceDE w:val="0"/>
        <w:autoSpaceDN w:val="0"/>
        <w:bidi w:val="0"/>
        <w:adjustRightInd w:val="0"/>
        <w:snapToGrid/>
        <w:spacing w:line="360" w:lineRule="auto"/>
        <w:jc w:val="center"/>
        <w:textAlignment w:val="baseline"/>
        <w:rPr>
          <w:rFonts w:hint="eastAsia" w:ascii="微软雅黑" w:hAnsi="微软雅黑" w:eastAsia="微软雅黑" w:cs="宋体"/>
          <w:kern w:val="0"/>
          <w:sz w:val="10"/>
          <w:szCs w:val="10"/>
        </w:rPr>
      </w:pPr>
      <w:r>
        <w:rPr>
          <w:position w:val="-71"/>
        </w:rPr>
        <w:drawing>
          <wp:inline distT="0" distB="0" distL="0" distR="0">
            <wp:extent cx="6415405" cy="2728595"/>
            <wp:effectExtent l="0" t="0" r="4445" b="14605"/>
            <wp:docPr id="8" name="IM 8" descr="E:\李姗\MIE\招展资料—改后\2024.9\9. 17-20 美国国际天然气展 Gastech\F5l53qRXoAA3fYx.gifF5l53qRXoAA3fYx"/>
            <wp:cNvGraphicFramePr/>
            <a:graphic xmlns:a="http://schemas.openxmlformats.org/drawingml/2006/main">
              <a:graphicData uri="http://schemas.openxmlformats.org/drawingml/2006/picture">
                <pic:pic xmlns:pic="http://schemas.openxmlformats.org/drawingml/2006/picture">
                  <pic:nvPicPr>
                    <pic:cNvPr id="8" name="IM 8" descr="E:\李姗\MIE\招展资料—改后\2024.9\9. 17-20 美国国际天然气展 Gastech\F5l53qRXoAA3fYx.gifF5l53qRXoAA3fYx"/>
                    <pic:cNvPicPr/>
                  </pic:nvPicPr>
                  <pic:blipFill>
                    <a:blip r:embed="rId7"/>
                    <a:srcRect t="39401"/>
                    <a:stretch>
                      <a:fillRect/>
                    </a:stretch>
                  </pic:blipFill>
                  <pic:spPr>
                    <a:xfrm>
                      <a:off x="0" y="0"/>
                      <a:ext cx="6415405" cy="2728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cs="宋体"/>
          <w:kern w:val="0"/>
          <w:sz w:val="28"/>
          <w:szCs w:val="28"/>
          <w:lang w:eastAsia="zh-CN"/>
        </w:rPr>
      </w:pPr>
      <w:r>
        <w:rPr>
          <w:rFonts w:hint="eastAsia" w:ascii="微软雅黑" w:hAnsi="微软雅黑" w:eastAsia="微软雅黑" w:cs="宋体"/>
          <w:kern w:val="0"/>
          <w:sz w:val="28"/>
          <w:szCs w:val="28"/>
        </w:rPr>
        <w:t>美国东临大西洋，西临太平洋，北临北冰洋，南临太平洋和墨西哥湾</w:t>
      </w:r>
      <w:r>
        <w:rPr>
          <w:rFonts w:hint="eastAsia" w:ascii="微软雅黑" w:hAnsi="微软雅黑" w:eastAsia="微软雅黑" w:cs="宋体"/>
          <w:kern w:val="0"/>
          <w:sz w:val="28"/>
          <w:szCs w:val="28"/>
          <w:lang w:eastAsia="zh-CN"/>
        </w:rPr>
        <w:t>，</w:t>
      </w:r>
      <w:r>
        <w:rPr>
          <w:rFonts w:hint="eastAsia" w:ascii="微软雅黑" w:hAnsi="微软雅黑" w:eastAsia="微软雅黑" w:cs="宋体"/>
          <w:kern w:val="0"/>
          <w:sz w:val="28"/>
          <w:szCs w:val="28"/>
        </w:rPr>
        <w:t>四面都可以</w:t>
      </w:r>
      <w:r>
        <w:rPr>
          <w:rFonts w:hint="eastAsia" w:ascii="微软雅黑" w:hAnsi="微软雅黑" w:eastAsia="微软雅黑" w:cs="宋体"/>
          <w:kern w:val="0"/>
          <w:sz w:val="28"/>
          <w:szCs w:val="28"/>
          <w:lang w:val="en-US" w:eastAsia="zh-CN"/>
        </w:rPr>
        <w:t>直通</w:t>
      </w:r>
      <w:r>
        <w:rPr>
          <w:rFonts w:hint="eastAsia" w:ascii="微软雅黑" w:hAnsi="微软雅黑" w:eastAsia="微软雅黑" w:cs="宋体"/>
          <w:kern w:val="0"/>
          <w:sz w:val="28"/>
          <w:szCs w:val="28"/>
        </w:rPr>
        <w:t>大洋</w:t>
      </w:r>
      <w:r>
        <w:rPr>
          <w:rFonts w:hint="eastAsia" w:ascii="微软雅黑" w:hAnsi="微软雅黑" w:eastAsia="微软雅黑" w:cs="宋体"/>
          <w:kern w:val="0"/>
          <w:sz w:val="28"/>
          <w:szCs w:val="28"/>
          <w:lang w:eastAsia="zh-CN"/>
        </w:rPr>
        <w:t>，</w:t>
      </w:r>
      <w:r>
        <w:rPr>
          <w:rFonts w:hint="eastAsia" w:ascii="微软雅黑" w:hAnsi="微软雅黑" w:eastAsia="微软雅黑" w:cs="宋体"/>
          <w:kern w:val="0"/>
          <w:sz w:val="28"/>
          <w:szCs w:val="28"/>
        </w:rPr>
        <w:t>西部的旧金山湾</w:t>
      </w:r>
      <w:r>
        <w:rPr>
          <w:rFonts w:hint="eastAsia" w:ascii="微软雅黑" w:hAnsi="微软雅黑" w:eastAsia="微软雅黑" w:cs="宋体"/>
          <w:kern w:val="0"/>
          <w:sz w:val="28"/>
          <w:szCs w:val="28"/>
          <w:lang w:val="en-US" w:eastAsia="zh-CN"/>
        </w:rPr>
        <w:t>也</w:t>
      </w:r>
      <w:r>
        <w:rPr>
          <w:rFonts w:hint="eastAsia" w:ascii="微软雅黑" w:hAnsi="微软雅黑" w:eastAsia="微软雅黑" w:cs="宋体"/>
          <w:kern w:val="0"/>
          <w:sz w:val="28"/>
          <w:szCs w:val="28"/>
        </w:rPr>
        <w:t>是世界三大天然深水不冻港之一</w:t>
      </w:r>
      <w:r>
        <w:rPr>
          <w:rFonts w:hint="eastAsia" w:ascii="微软雅黑" w:hAnsi="微软雅黑" w:eastAsia="微软雅黑" w:cs="宋体"/>
          <w:kern w:val="0"/>
          <w:sz w:val="28"/>
          <w:szCs w:val="28"/>
          <w:lang w:eastAsia="zh-CN"/>
        </w:rPr>
        <w:t>，</w:t>
      </w:r>
      <w:r>
        <w:rPr>
          <w:rFonts w:hint="eastAsia" w:ascii="微软雅黑" w:hAnsi="微软雅黑" w:eastAsia="微软雅黑" w:cs="宋体"/>
          <w:kern w:val="0"/>
          <w:sz w:val="28"/>
          <w:szCs w:val="28"/>
          <w:lang w:val="en-US" w:eastAsia="zh-CN"/>
        </w:rPr>
        <w:t>优越</w:t>
      </w:r>
      <w:r>
        <w:rPr>
          <w:rFonts w:hint="eastAsia" w:ascii="微软雅黑" w:hAnsi="微软雅黑" w:eastAsia="微软雅黑" w:cs="宋体"/>
          <w:kern w:val="0"/>
          <w:sz w:val="28"/>
          <w:szCs w:val="28"/>
        </w:rPr>
        <w:t>的地理位置使其</w:t>
      </w:r>
      <w:r>
        <w:rPr>
          <w:rFonts w:hint="eastAsia" w:ascii="微软雅黑" w:hAnsi="微软雅黑" w:eastAsia="微软雅黑" w:cs="宋体"/>
          <w:kern w:val="0"/>
          <w:sz w:val="28"/>
          <w:szCs w:val="28"/>
          <w:lang w:val="en-US" w:eastAsia="zh-CN"/>
        </w:rPr>
        <w:t>占据了</w:t>
      </w:r>
      <w:r>
        <w:rPr>
          <w:rFonts w:hint="eastAsia" w:ascii="微软雅黑" w:hAnsi="微软雅黑" w:eastAsia="微软雅黑" w:cs="宋体"/>
          <w:kern w:val="0"/>
          <w:sz w:val="28"/>
          <w:szCs w:val="28"/>
        </w:rPr>
        <w:t>向全球出口液化天然气（LNG）的有利地位</w:t>
      </w:r>
      <w:r>
        <w:rPr>
          <w:rFonts w:hint="eastAsia" w:ascii="微软雅黑" w:hAnsi="微软雅黑" w:eastAsia="微软雅黑" w:cs="宋体"/>
          <w:kern w:val="0"/>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cs="宋体"/>
          <w:kern w:val="0"/>
          <w:sz w:val="28"/>
          <w:szCs w:val="28"/>
        </w:rPr>
      </w:pPr>
      <w:r>
        <w:rPr>
          <w:rFonts w:hint="eastAsia" w:ascii="微软雅黑" w:hAnsi="微软雅黑" w:eastAsia="微软雅黑" w:cs="宋体"/>
          <w:kern w:val="0"/>
          <w:sz w:val="28"/>
          <w:szCs w:val="28"/>
        </w:rPr>
        <w:t>据美国能源信息署（EIA）数据显示，</w:t>
      </w:r>
      <w:r>
        <w:rPr>
          <w:rFonts w:hint="default" w:ascii="微软雅黑" w:hAnsi="微软雅黑" w:eastAsia="微软雅黑" w:cs="宋体"/>
          <w:kern w:val="0"/>
          <w:sz w:val="28"/>
          <w:szCs w:val="28"/>
        </w:rPr>
        <w:t>2021年美国天然气的日产量平均为945.7亿立方英尺，同比新增了3.34%。按一年365天计算，美国2021年的天然气总产量达到了9774.4亿立方米。</w:t>
      </w:r>
      <w:r>
        <w:rPr>
          <w:rFonts w:hint="eastAsia" w:ascii="微软雅黑" w:hAnsi="微软雅黑" w:eastAsia="微软雅黑" w:cs="宋体"/>
          <w:kern w:val="0"/>
          <w:sz w:val="28"/>
          <w:szCs w:val="28"/>
        </w:rPr>
        <w:t>2</w:t>
      </w:r>
      <w:r>
        <w:rPr>
          <w:rFonts w:hint="eastAsia" w:ascii="微软雅黑" w:hAnsi="微软雅黑" w:eastAsia="微软雅黑" w:cs="宋体"/>
          <w:kern w:val="0"/>
          <w:sz w:val="28"/>
          <w:szCs w:val="28"/>
          <w:lang w:val="en-US" w:eastAsia="zh-CN"/>
        </w:rPr>
        <w:t>022</w:t>
      </w:r>
      <w:r>
        <w:rPr>
          <w:rFonts w:hint="eastAsia" w:ascii="微软雅黑" w:hAnsi="微软雅黑" w:eastAsia="微软雅黑" w:cs="宋体"/>
          <w:kern w:val="0"/>
          <w:sz w:val="28"/>
          <w:szCs w:val="28"/>
        </w:rPr>
        <w:t>年美国天然气的日产量平均为1190亿立方英尺，同比增长了4%</w:t>
      </w:r>
      <w:r>
        <w:rPr>
          <w:rFonts w:hint="eastAsia" w:ascii="微软雅黑" w:hAnsi="微软雅黑" w:eastAsia="微软雅黑" w:cs="宋体"/>
          <w:kern w:val="0"/>
          <w:sz w:val="28"/>
          <w:szCs w:val="28"/>
          <w:lang w:eastAsia="zh-CN"/>
        </w:rPr>
        <w:t>，</w:t>
      </w:r>
      <w:r>
        <w:rPr>
          <w:rFonts w:hint="default" w:ascii="微软雅黑" w:hAnsi="微软雅黑" w:eastAsia="微软雅黑" w:cs="宋体"/>
          <w:kern w:val="0"/>
          <w:sz w:val="28"/>
          <w:szCs w:val="28"/>
        </w:rPr>
        <w:t>即每天增加49亿立方英尺，合计全年的天然气总开采量为43.378万亿立方英尺</w:t>
      </w:r>
      <w:r>
        <w:rPr>
          <w:rFonts w:hint="eastAsia" w:ascii="微软雅黑" w:hAnsi="微软雅黑" w:eastAsia="微软雅黑" w:cs="宋体"/>
          <w:kern w:val="0"/>
          <w:sz w:val="28"/>
          <w:szCs w:val="28"/>
          <w:lang w:eastAsia="zh-CN"/>
        </w:rPr>
        <w:t>，</w:t>
      </w:r>
      <w:r>
        <w:rPr>
          <w:rFonts w:hint="eastAsia" w:ascii="微软雅黑" w:hAnsi="微软雅黑" w:eastAsia="微软雅黑" w:cs="宋体"/>
          <w:kern w:val="0"/>
          <w:sz w:val="28"/>
          <w:szCs w:val="28"/>
        </w:rPr>
        <w:t>创下了天然气产量新的年度历史纪录水平。</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cs="宋体"/>
          <w:kern w:val="0"/>
          <w:sz w:val="28"/>
          <w:szCs w:val="28"/>
        </w:rPr>
      </w:pPr>
      <w:r>
        <w:rPr>
          <w:rFonts w:hint="eastAsia" w:ascii="微软雅黑" w:hAnsi="微软雅黑" w:eastAsia="微软雅黑" w:cs="宋体"/>
          <w:kern w:val="0"/>
          <w:sz w:val="28"/>
          <w:szCs w:val="28"/>
        </w:rPr>
        <w:t>天然气在美国的能源结构中占有重要地位，为美国经济发展提供了稳定的能源供应。</w:t>
      </w:r>
      <w:r>
        <w:rPr>
          <w:rFonts w:hint="default" w:ascii="微软雅黑" w:hAnsi="微软雅黑" w:eastAsia="微软雅黑" w:cs="宋体"/>
          <w:kern w:val="0"/>
          <w:sz w:val="28"/>
          <w:szCs w:val="28"/>
        </w:rPr>
        <w:t>美国的天然气市场需求稳定且较大</w:t>
      </w:r>
      <w:r>
        <w:rPr>
          <w:rFonts w:hint="eastAsia" w:ascii="微软雅黑" w:hAnsi="微软雅黑" w:eastAsia="微软雅黑" w:cs="宋体"/>
          <w:kern w:val="0"/>
          <w:sz w:val="28"/>
          <w:szCs w:val="28"/>
          <w:lang w:eastAsia="zh-CN"/>
        </w:rPr>
        <w:t>，</w:t>
      </w:r>
      <w:r>
        <w:rPr>
          <w:rFonts w:hint="default" w:ascii="微软雅黑" w:hAnsi="微软雅黑" w:eastAsia="微软雅黑" w:cs="宋体"/>
          <w:kern w:val="0"/>
          <w:sz w:val="28"/>
          <w:szCs w:val="28"/>
        </w:rPr>
        <w:t>随着美国能源独立战略的实施，到2050年,美国天然气需求将比2020年增长14%。</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PingFang-SC-Regular" w:hAnsi="PingFang-SC-Regular" w:eastAsia="PingFang-SC-Regular" w:cs="PingFang-SC-Regular"/>
          <w:sz w:val="28"/>
          <w:szCs w:val="28"/>
        </w:rPr>
      </w:pPr>
      <w:r>
        <w:rPr>
          <w:rFonts w:hint="default" w:ascii="微软雅黑" w:hAnsi="微软雅黑" w:eastAsia="微软雅黑" w:cs="宋体"/>
          <w:kern w:val="0"/>
          <w:sz w:val="28"/>
          <w:szCs w:val="28"/>
        </w:rPr>
        <w:t>美国</w:t>
      </w:r>
      <w:r>
        <w:rPr>
          <w:rFonts w:hint="eastAsia" w:ascii="微软雅黑" w:hAnsi="微软雅黑" w:eastAsia="微软雅黑" w:cs="宋体"/>
          <w:kern w:val="0"/>
          <w:sz w:val="28"/>
          <w:szCs w:val="28"/>
          <w:lang w:val="en-US" w:eastAsia="zh-CN"/>
        </w:rPr>
        <w:t>政府</w:t>
      </w:r>
      <w:r>
        <w:rPr>
          <w:rFonts w:hint="default" w:ascii="微软雅黑" w:hAnsi="微软雅黑" w:eastAsia="微软雅黑" w:cs="宋体"/>
          <w:kern w:val="0"/>
          <w:sz w:val="28"/>
          <w:szCs w:val="28"/>
        </w:rPr>
        <w:t>对天然气的开发</w:t>
      </w:r>
      <w:r>
        <w:rPr>
          <w:rFonts w:hint="eastAsia" w:ascii="微软雅黑" w:hAnsi="微软雅黑" w:eastAsia="微软雅黑" w:cs="宋体"/>
          <w:kern w:val="0"/>
          <w:sz w:val="28"/>
          <w:szCs w:val="28"/>
          <w:lang w:val="en-US" w:eastAsia="zh-CN"/>
        </w:rPr>
        <w:t>出台了</w:t>
      </w:r>
      <w:r>
        <w:rPr>
          <w:rFonts w:hint="default" w:ascii="微软雅黑" w:hAnsi="微软雅黑" w:eastAsia="微软雅黑" w:cs="宋体"/>
          <w:kern w:val="0"/>
          <w:sz w:val="28"/>
          <w:szCs w:val="28"/>
        </w:rPr>
        <w:t>新政策</w:t>
      </w:r>
      <w:r>
        <w:rPr>
          <w:rFonts w:hint="eastAsia" w:ascii="微软雅黑" w:hAnsi="微软雅黑" w:eastAsia="微软雅黑" w:cs="宋体"/>
          <w:kern w:val="0"/>
          <w:sz w:val="28"/>
          <w:szCs w:val="28"/>
          <w:lang w:eastAsia="zh-CN"/>
        </w:rPr>
        <w:t>，</w:t>
      </w:r>
      <w:r>
        <w:rPr>
          <w:rFonts w:hint="default" w:ascii="微软雅黑" w:hAnsi="微软雅黑" w:eastAsia="微软雅黑" w:cs="宋体"/>
          <w:kern w:val="0"/>
          <w:sz w:val="28"/>
          <w:szCs w:val="28"/>
        </w:rPr>
        <w:t>主要有以下两个方面：</w:t>
      </w:r>
      <w:r>
        <w:rPr>
          <w:rFonts w:hint="eastAsia" w:ascii="微软雅黑" w:hAnsi="微软雅黑" w:eastAsia="微软雅黑" w:cs="宋体"/>
          <w:kern w:val="0"/>
          <w:sz w:val="28"/>
          <w:szCs w:val="28"/>
          <w:lang w:val="en-US" w:eastAsia="zh-CN"/>
        </w:rPr>
        <w:t>1、</w:t>
      </w:r>
      <w:r>
        <w:rPr>
          <w:rFonts w:hint="default" w:ascii="微软雅黑" w:hAnsi="微软雅黑" w:eastAsia="微软雅黑" w:cs="宋体"/>
          <w:kern w:val="0"/>
          <w:sz w:val="28"/>
          <w:szCs w:val="28"/>
        </w:rPr>
        <w:t>扩大LNG出口：随着技术的进步和全球能源市场的变化，美国正在积极扩大LNG出口。2022年，随着新项目投产，美国将超过卡塔尔和澳大利亚，成为世界上最大的LNG出口国。美国政府和企业在LNG的开发和出口方面采取了多种措施，包括建设LNG出口终端和管道基础设施、降低LNG出口关税等，以促进天然气出口和贸易。</w:t>
      </w:r>
      <w:r>
        <w:rPr>
          <w:rFonts w:hint="eastAsia" w:ascii="微软雅黑" w:hAnsi="微软雅黑" w:eastAsia="微软雅黑" w:cs="宋体"/>
          <w:kern w:val="0"/>
          <w:sz w:val="28"/>
          <w:szCs w:val="28"/>
          <w:lang w:val="en-US" w:eastAsia="zh-CN"/>
        </w:rPr>
        <w:t>2、</w:t>
      </w:r>
      <w:r>
        <w:rPr>
          <w:rFonts w:hint="default" w:ascii="微软雅黑" w:hAnsi="微软雅黑" w:eastAsia="微软雅黑" w:cs="宋体"/>
          <w:kern w:val="0"/>
          <w:sz w:val="28"/>
          <w:szCs w:val="28"/>
        </w:rPr>
        <w:t>加强天然气勘探开发：美国政府通过立法和政策手段鼓励页岩气等非常规天然气的开发。美国政府提出了“能源主导”的口号，旨在加强国内天然气的勘探开发，提高国内能源自给率。此外，美国政府还通过税收优惠等措施鼓励企业和个人进行天然气勘探开发。</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cs="宋体"/>
          <w:kern w:val="0"/>
          <w:sz w:val="28"/>
          <w:szCs w:val="28"/>
        </w:rPr>
      </w:pPr>
      <w:r>
        <w:rPr>
          <w:rFonts w:hint="default" w:ascii="微软雅黑" w:hAnsi="微软雅黑" w:eastAsia="微软雅黑" w:cs="宋体"/>
          <w:kern w:val="0"/>
          <w:sz w:val="28"/>
          <w:szCs w:val="28"/>
        </w:rPr>
        <w:t>美国政府在天然气产业的开放程度上一直保持较高水平。无论是在天然气的开采、生产，还是在天然气的销售、贸易等环节，都给予了外国企业相当大的市场准入空间</w:t>
      </w:r>
      <w:r>
        <w:rPr>
          <w:rFonts w:hint="eastAsia" w:ascii="微软雅黑" w:hAnsi="微软雅黑" w:eastAsia="微软雅黑" w:cs="宋体"/>
          <w:kern w:val="0"/>
          <w:sz w:val="28"/>
          <w:szCs w:val="28"/>
          <w:lang w:eastAsia="zh-CN"/>
        </w:rPr>
        <w:t>，</w:t>
      </w:r>
      <w:r>
        <w:rPr>
          <w:rFonts w:hint="default" w:ascii="微软雅黑" w:hAnsi="微软雅黑" w:eastAsia="微软雅黑" w:cs="宋体"/>
          <w:kern w:val="0"/>
          <w:sz w:val="28"/>
          <w:szCs w:val="28"/>
        </w:rPr>
        <w:t>这为中国</w:t>
      </w:r>
      <w:r>
        <w:rPr>
          <w:rFonts w:hint="eastAsia" w:ascii="微软雅黑" w:hAnsi="微软雅黑" w:eastAsia="微软雅黑" w:cs="宋体"/>
          <w:kern w:val="0"/>
          <w:sz w:val="28"/>
          <w:szCs w:val="28"/>
          <w:lang w:val="en-US" w:eastAsia="zh-CN"/>
        </w:rPr>
        <w:t>相关</w:t>
      </w:r>
      <w:r>
        <w:rPr>
          <w:rFonts w:hint="default" w:ascii="微软雅黑" w:hAnsi="微软雅黑" w:eastAsia="微软雅黑" w:cs="宋体"/>
          <w:kern w:val="0"/>
          <w:sz w:val="28"/>
          <w:szCs w:val="28"/>
        </w:rPr>
        <w:t>企业进军美国天然气市场提供了良好的投资环境。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微软雅黑" w:hAnsi="微软雅黑" w:eastAsia="微软雅黑" w:cs="宋体"/>
          <w:kern w:val="0"/>
          <w:szCs w:val="21"/>
          <w:lang w:val="en-US" w:eastAsia="zh-CN"/>
        </w:rPr>
      </w:pP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40"/>
          <w:szCs w:val="40"/>
          <w:lang w:val="en-US" w:eastAsia="zh-CN"/>
        </w:rPr>
      </w:pP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40"/>
          <w:szCs w:val="40"/>
          <w:lang w:val="en-US" w:eastAsia="zh-CN"/>
        </w:rPr>
      </w:pP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r>
        <w:rPr>
          <w:rFonts w:hint="eastAsia" w:ascii="微软雅黑" w:hAnsi="微软雅黑" w:eastAsia="微软雅黑" w:cs="微软雅黑"/>
          <w:b/>
          <w:bCs/>
          <w:sz w:val="40"/>
          <w:szCs w:val="40"/>
          <w:lang w:val="en-US" w:eastAsia="zh-CN"/>
        </w:rPr>
        <w:t>招展范围</w:t>
      </w:r>
    </w:p>
    <w:p>
      <w:pPr>
        <w:keepNext w:val="0"/>
        <w:keepLines w:val="0"/>
        <w:pageBreakBefore w:val="0"/>
        <w:widowControl/>
        <w:kinsoku w:val="0"/>
        <w:wordWrap/>
        <w:overflowPunct/>
        <w:topLinePunct w:val="0"/>
        <w:autoSpaceDE w:val="0"/>
        <w:autoSpaceDN w:val="0"/>
        <w:bidi w:val="0"/>
        <w:adjustRightInd w:val="0"/>
        <w:snapToGrid/>
        <w:spacing w:line="360" w:lineRule="auto"/>
        <w:jc w:val="center"/>
        <w:textAlignment w:val="baseline"/>
        <w:rPr>
          <w:rFonts w:hint="eastAsia" w:ascii="微软雅黑" w:hAnsi="微软雅黑" w:eastAsia="微软雅黑" w:cs="宋体"/>
          <w:kern w:val="0"/>
          <w:sz w:val="43"/>
          <w:szCs w:val="43"/>
          <w:lang w:val="en-US" w:eastAsia="zh-CN"/>
        </w:rPr>
      </w:pPr>
      <w:r>
        <w:rPr>
          <w:rFonts w:hint="eastAsia" w:ascii="微软雅黑" w:hAnsi="微软雅黑" w:eastAsia="微软雅黑" w:cs="宋体"/>
          <w:kern w:val="0"/>
          <w:sz w:val="43"/>
          <w:szCs w:val="43"/>
          <w:lang w:val="en-US" w:eastAsia="zh-CN"/>
        </w:rPr>
        <w:drawing>
          <wp:inline distT="0" distB="0" distL="114300" distR="114300">
            <wp:extent cx="6432550" cy="2675890"/>
            <wp:effectExtent l="0" t="0" r="6350" b="10160"/>
            <wp:docPr id="5" name="图片 5" descr="E:\李姗\MIE\招展资料—改后\2024.9\9. 17-20 美国国际天然气展 Gastech\country-paviliom-box-7-min.pngcountry-paviliom-box-7-min"/>
            <wp:cNvGraphicFramePr/>
            <a:graphic xmlns:a="http://schemas.openxmlformats.org/drawingml/2006/main">
              <a:graphicData uri="http://schemas.openxmlformats.org/drawingml/2006/picture">
                <pic:pic xmlns:pic="http://schemas.openxmlformats.org/drawingml/2006/picture">
                  <pic:nvPicPr>
                    <pic:cNvPr id="5" name="图片 5" descr="E:\李姗\MIE\招展资料—改后\2024.9\9. 17-20 美国国际天然气展 Gastech\country-paviliom-box-7-min.pngcountry-paviliom-box-7-min"/>
                    <pic:cNvPicPr/>
                  </pic:nvPicPr>
                  <pic:blipFill>
                    <a:blip r:embed="rId8"/>
                    <a:srcRect t="32371" b="13661"/>
                    <a:stretch>
                      <a:fillRect/>
                    </a:stretch>
                  </pic:blipFill>
                  <pic:spPr>
                    <a:xfrm>
                      <a:off x="0" y="0"/>
                      <a:ext cx="6432550" cy="267589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宋体"/>
          <w:kern w:val="0"/>
          <w:sz w:val="28"/>
          <w:szCs w:val="28"/>
        </w:rPr>
      </w:pPr>
      <w:r>
        <w:rPr>
          <w:rFonts w:hint="eastAsia" w:ascii="微软雅黑" w:hAnsi="微软雅黑" w:eastAsia="微软雅黑" w:cs="宋体"/>
          <w:b/>
          <w:bCs/>
          <w:kern w:val="0"/>
          <w:sz w:val="28"/>
          <w:szCs w:val="28"/>
        </w:rPr>
        <w:t xml:space="preserve">燃气管网工程建设与地下管线管理技术设备: </w:t>
      </w:r>
      <w:r>
        <w:rPr>
          <w:rFonts w:hint="eastAsia" w:ascii="微软雅黑" w:hAnsi="微软雅黑" w:eastAsia="微软雅黑" w:cs="宋体"/>
          <w:kern w:val="0"/>
          <w:sz w:val="28"/>
          <w:szCs w:val="28"/>
        </w:rPr>
        <w:t>直缝埋弧焊管、螺旋缝埋弧焊管附、ERW焊管及其生产、检测设备技术，燃气管道的新材料及其配套部件、弯管的制造设备及技术、管道内外壁防腐材料技术和堵漏技术、地下管线探测、检测、泄漏监测技术设备，综合信息管理系统。管道施工及非开挖技术设备等；</w:t>
      </w:r>
    </w:p>
    <w:p>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宋体"/>
          <w:kern w:val="0"/>
          <w:sz w:val="28"/>
          <w:szCs w:val="28"/>
        </w:rPr>
      </w:pPr>
      <w:r>
        <w:rPr>
          <w:rFonts w:hint="eastAsia" w:ascii="微软雅黑" w:hAnsi="微软雅黑" w:eastAsia="微软雅黑" w:cs="宋体"/>
          <w:b/>
          <w:bCs/>
          <w:kern w:val="0"/>
          <w:sz w:val="28"/>
          <w:szCs w:val="28"/>
        </w:rPr>
        <w:t xml:space="preserve">燃气汽车、加气站专用技术设备: </w:t>
      </w:r>
      <w:r>
        <w:rPr>
          <w:rFonts w:hint="eastAsia" w:ascii="微软雅黑" w:hAnsi="微软雅黑" w:eastAsia="微软雅黑" w:cs="宋体"/>
          <w:kern w:val="0"/>
          <w:sz w:val="28"/>
          <w:szCs w:val="28"/>
        </w:rPr>
        <w:t>双燃料设备、各种储气、车用瓶、站用瓶、燃气汽车用品、燃气压缩机、燃气转换系统、电控系统、混合器、LPG汽化调节器、CNG移动和固定加气站及配套设备、各种清洁燃气汽车、燃气汽车成套设备；</w:t>
      </w:r>
    </w:p>
    <w:p>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宋体"/>
          <w:kern w:val="0"/>
          <w:sz w:val="28"/>
          <w:szCs w:val="28"/>
        </w:rPr>
      </w:pPr>
      <w:r>
        <w:rPr>
          <w:rFonts w:hint="eastAsia" w:ascii="微软雅黑" w:hAnsi="微软雅黑" w:eastAsia="微软雅黑" w:cs="宋体"/>
          <w:b/>
          <w:bCs/>
          <w:kern w:val="0"/>
          <w:sz w:val="28"/>
          <w:szCs w:val="28"/>
        </w:rPr>
        <w:t xml:space="preserve">燃气技术设备: </w:t>
      </w:r>
      <w:r>
        <w:rPr>
          <w:rFonts w:hint="eastAsia" w:ascii="微软雅黑" w:hAnsi="微软雅黑" w:eastAsia="微软雅黑" w:cs="宋体"/>
          <w:kern w:val="0"/>
          <w:sz w:val="28"/>
          <w:szCs w:val="28"/>
        </w:rPr>
        <w:t>燃气输配系统新技术及维护管理技术设备、燃气应用技术；燃气控制检测技术与设备、燃气自动化控制、报警系统；石油天然气存储技术、煤气净化与回收技术供气集中监控技术；新型专用管材与设备、管道的防腐技术、燃气阀门；燃气锅炉、燃气供热（水）设备各类燃气用具及零配件等；燃气采暖技术设备、燃气中央空调；工业燃气设备燃气安全装置及燃气相关设备等；</w:t>
      </w:r>
    </w:p>
    <w:p>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宋体"/>
          <w:kern w:val="0"/>
          <w:sz w:val="28"/>
          <w:szCs w:val="28"/>
        </w:rPr>
      </w:pPr>
      <w:r>
        <w:rPr>
          <w:rFonts w:hint="eastAsia" w:ascii="微软雅黑" w:hAnsi="微软雅黑" w:eastAsia="微软雅黑" w:cs="宋体"/>
          <w:b/>
          <w:bCs/>
          <w:kern w:val="0"/>
          <w:sz w:val="28"/>
          <w:szCs w:val="28"/>
        </w:rPr>
        <w:t xml:space="preserve">天然气工程建设与技术设备: </w:t>
      </w:r>
      <w:r>
        <w:rPr>
          <w:rFonts w:hint="eastAsia" w:ascii="微软雅黑" w:hAnsi="微软雅黑" w:eastAsia="微软雅黑" w:cs="宋体"/>
          <w:kern w:val="0"/>
          <w:sz w:val="28"/>
          <w:szCs w:val="28"/>
        </w:rPr>
        <w:t>天然气勘探开发与生产技术装备、天然气压缩机、天然气管道传输技术设备、控制系统、仪器仪表、天然气压缩机、燃气轮机、城市燃气技术设备、燃气终端产品、天然气发电成套技术设备、天然气化工成套技术设备、相关环保技术、设计研究、技术咨询；</w:t>
      </w:r>
    </w:p>
    <w:p>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宋体"/>
          <w:kern w:val="0"/>
          <w:sz w:val="28"/>
          <w:szCs w:val="28"/>
        </w:rPr>
      </w:pPr>
      <w:r>
        <w:rPr>
          <w:rFonts w:hint="eastAsia" w:ascii="微软雅黑" w:hAnsi="微软雅黑" w:eastAsia="微软雅黑" w:cs="宋体"/>
          <w:b/>
          <w:bCs/>
          <w:kern w:val="0"/>
          <w:sz w:val="28"/>
          <w:szCs w:val="28"/>
        </w:rPr>
        <w:t xml:space="preserve">泵阀管道: </w:t>
      </w:r>
      <w:r>
        <w:rPr>
          <w:rFonts w:hint="eastAsia" w:ascii="微软雅黑" w:hAnsi="微软雅黑" w:eastAsia="微软雅黑" w:cs="宋体"/>
          <w:kern w:val="0"/>
          <w:sz w:val="28"/>
          <w:szCs w:val="28"/>
        </w:rPr>
        <w:t>停止阀/闭塞阀、调节阀、安全阀、流量分配阀等；市政建设用的各种天然气阀门、压力控制/温度控制设备、管道包装材料、相关工具及其他；</w:t>
      </w:r>
    </w:p>
    <w:p>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宋体"/>
          <w:b/>
          <w:bCs/>
          <w:kern w:val="0"/>
          <w:sz w:val="28"/>
          <w:szCs w:val="28"/>
        </w:rPr>
      </w:pPr>
      <w:r>
        <w:rPr>
          <w:rFonts w:hint="eastAsia" w:ascii="微软雅黑" w:hAnsi="微软雅黑" w:eastAsia="微软雅黑" w:cs="宋体"/>
          <w:b/>
          <w:bCs/>
          <w:kern w:val="0"/>
          <w:sz w:val="28"/>
          <w:szCs w:val="28"/>
        </w:rPr>
        <w:t xml:space="preserve">开采设备: </w:t>
      </w:r>
      <w:r>
        <w:rPr>
          <w:rFonts w:hint="eastAsia" w:ascii="微软雅黑" w:hAnsi="微软雅黑" w:eastAsia="微软雅黑" w:cs="宋体"/>
          <w:kern w:val="0"/>
          <w:sz w:val="28"/>
          <w:szCs w:val="28"/>
        </w:rPr>
        <w:t>勘探设备; 钻井平台;钻机电气设备;钻井专用运输和起重设备;预防和消除钻井和固定井并发症的设备;井井下修复设备和工具。石油和天然气收集和处理设备。用于固井和其他工艺过程的设备和工具。采矿专用运输和起重设备。泵送，通风和压缩机设备。采矿用电气设备。海上油田开发设备。</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微软雅黑" w:hAnsi="微软雅黑" w:eastAsia="微软雅黑"/>
          <w:szCs w:val="21"/>
          <w:lang w:val="en-US" w:eastAsia="zh-CN"/>
        </w:rPr>
      </w:pPr>
      <w:r>
        <w:rPr>
          <w:rFonts w:hint="eastAsia" w:ascii="微软雅黑" w:hAnsi="微软雅黑" w:eastAsia="微软雅黑" w:cs="微软雅黑"/>
          <w:b/>
          <w:bCs/>
          <w:sz w:val="40"/>
          <w:szCs w:val="40"/>
          <w:lang w:val="en-US" w:eastAsia="zh-CN"/>
        </w:rPr>
        <w:t>合作单位</w:t>
      </w: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ascii="微软雅黑" w:hAnsi="微软雅黑" w:eastAsia="微软雅黑"/>
          <w:szCs w:val="21"/>
          <w:lang w:val="en-US" w:eastAsia="zh-CN"/>
        </w:rPr>
      </w:pPr>
      <w:r>
        <w:rPr>
          <w:rFonts w:hint="default" w:ascii="微软雅黑" w:hAnsi="微软雅黑" w:eastAsia="微软雅黑" w:cs="微软雅黑"/>
          <w:b/>
          <w:bCs/>
          <w:sz w:val="40"/>
          <w:szCs w:val="40"/>
          <w:lang w:val="en-US" w:eastAsia="zh-CN"/>
        </w:rPr>
        <w:drawing>
          <wp:inline distT="0" distB="0" distL="114300" distR="114300">
            <wp:extent cx="6478270" cy="713740"/>
            <wp:effectExtent l="0" t="0" r="17780" b="10160"/>
            <wp:docPr id="9" name="图片 9" descr="QQ截图2023101111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31011112548"/>
                    <pic:cNvPicPr>
                      <a:picLocks noChangeAspect="1"/>
                    </pic:cNvPicPr>
                  </pic:nvPicPr>
                  <pic:blipFill>
                    <a:blip r:embed="rId9"/>
                    <a:stretch>
                      <a:fillRect/>
                    </a:stretch>
                  </pic:blipFill>
                  <pic:spPr>
                    <a:xfrm>
                      <a:off x="0" y="0"/>
                      <a:ext cx="6478270" cy="7137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微软雅黑" w:hAnsi="微软雅黑" w:eastAsia="微软雅黑" w:cs="微软雅黑"/>
          <w:b/>
          <w:bCs/>
          <w:sz w:val="40"/>
          <w:szCs w:val="40"/>
          <w:lang w:val="en-US" w:eastAsia="zh-CN"/>
        </w:rPr>
      </w:pPr>
      <w:r>
        <w:rPr>
          <w:rFonts w:hint="default" w:ascii="微软雅黑" w:hAnsi="微软雅黑" w:eastAsia="微软雅黑" w:cs="微软雅黑"/>
          <w:b/>
          <w:bCs/>
          <w:sz w:val="40"/>
          <w:szCs w:val="40"/>
          <w:lang w:val="en-US" w:eastAsia="zh-CN"/>
        </w:rPr>
        <w:drawing>
          <wp:inline distT="0" distB="0" distL="114300" distR="114300">
            <wp:extent cx="6473825" cy="1012190"/>
            <wp:effectExtent l="0" t="0" r="3175" b="16510"/>
            <wp:docPr id="14" name="图片 14" descr="QQ截图202310111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31011112310"/>
                    <pic:cNvPicPr>
                      <a:picLocks noChangeAspect="1"/>
                    </pic:cNvPicPr>
                  </pic:nvPicPr>
                  <pic:blipFill>
                    <a:blip r:embed="rId10"/>
                    <a:stretch>
                      <a:fillRect/>
                    </a:stretch>
                  </pic:blipFill>
                  <pic:spPr>
                    <a:xfrm>
                      <a:off x="0" y="0"/>
                      <a:ext cx="6473825" cy="1012190"/>
                    </a:xfrm>
                    <a:prstGeom prst="rect">
                      <a:avLst/>
                    </a:prstGeom>
                  </pic:spPr>
                </pic:pic>
              </a:graphicData>
            </a:graphic>
          </wp:inline>
        </w:drawing>
      </w:r>
      <w:r>
        <w:rPr>
          <w:rFonts w:hint="default" w:ascii="微软雅黑" w:hAnsi="微软雅黑" w:eastAsia="微软雅黑" w:cs="微软雅黑"/>
          <w:b/>
          <w:bCs/>
          <w:sz w:val="40"/>
          <w:szCs w:val="40"/>
          <w:lang w:val="en-US" w:eastAsia="zh-CN"/>
        </w:rPr>
        <w:drawing>
          <wp:inline distT="0" distB="0" distL="114300" distR="114300">
            <wp:extent cx="6475095" cy="882015"/>
            <wp:effectExtent l="0" t="0" r="1905" b="13335"/>
            <wp:docPr id="13" name="图片 13" descr="QQ截图202310111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31011112347"/>
                    <pic:cNvPicPr>
                      <a:picLocks noChangeAspect="1"/>
                    </pic:cNvPicPr>
                  </pic:nvPicPr>
                  <pic:blipFill>
                    <a:blip r:embed="rId11"/>
                    <a:stretch>
                      <a:fillRect/>
                    </a:stretch>
                  </pic:blipFill>
                  <pic:spPr>
                    <a:xfrm>
                      <a:off x="0" y="0"/>
                      <a:ext cx="6475095" cy="882015"/>
                    </a:xfrm>
                    <a:prstGeom prst="rect">
                      <a:avLst/>
                    </a:prstGeom>
                  </pic:spPr>
                </pic:pic>
              </a:graphicData>
            </a:graphic>
          </wp:inline>
        </w:drawing>
      </w:r>
      <w:r>
        <w:rPr>
          <w:rFonts w:hint="default" w:ascii="微软雅黑" w:hAnsi="微软雅黑" w:eastAsia="微软雅黑" w:cs="微软雅黑"/>
          <w:b/>
          <w:bCs/>
          <w:sz w:val="40"/>
          <w:szCs w:val="40"/>
          <w:lang w:val="en-US" w:eastAsia="zh-CN"/>
        </w:rPr>
        <w:drawing>
          <wp:inline distT="0" distB="0" distL="114300" distR="114300">
            <wp:extent cx="6471285" cy="727075"/>
            <wp:effectExtent l="0" t="0" r="5715" b="15875"/>
            <wp:docPr id="12" name="图片 12" descr="QQ截图2023101111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31011112400"/>
                    <pic:cNvPicPr>
                      <a:picLocks noChangeAspect="1"/>
                    </pic:cNvPicPr>
                  </pic:nvPicPr>
                  <pic:blipFill>
                    <a:blip r:embed="rId12"/>
                    <a:stretch>
                      <a:fillRect/>
                    </a:stretch>
                  </pic:blipFill>
                  <pic:spPr>
                    <a:xfrm>
                      <a:off x="0" y="0"/>
                      <a:ext cx="6471285" cy="727075"/>
                    </a:xfrm>
                    <a:prstGeom prst="rect">
                      <a:avLst/>
                    </a:prstGeom>
                  </pic:spPr>
                </pic:pic>
              </a:graphicData>
            </a:graphic>
          </wp:inline>
        </w:drawing>
      </w:r>
      <w:r>
        <w:rPr>
          <w:rFonts w:hint="default" w:ascii="微软雅黑" w:hAnsi="微软雅黑" w:eastAsia="微软雅黑" w:cs="微软雅黑"/>
          <w:b/>
          <w:bCs/>
          <w:sz w:val="40"/>
          <w:szCs w:val="40"/>
          <w:lang w:val="en-US" w:eastAsia="zh-CN"/>
        </w:rPr>
        <w:drawing>
          <wp:inline distT="0" distB="0" distL="114300" distR="114300">
            <wp:extent cx="6473825" cy="683260"/>
            <wp:effectExtent l="0" t="0" r="3175" b="2540"/>
            <wp:docPr id="11" name="图片 11" descr="QQ截图2023101111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231011112412"/>
                    <pic:cNvPicPr>
                      <a:picLocks noChangeAspect="1"/>
                    </pic:cNvPicPr>
                  </pic:nvPicPr>
                  <pic:blipFill>
                    <a:blip r:embed="rId13"/>
                    <a:stretch>
                      <a:fillRect/>
                    </a:stretch>
                  </pic:blipFill>
                  <pic:spPr>
                    <a:xfrm>
                      <a:off x="0" y="0"/>
                      <a:ext cx="6473825" cy="683260"/>
                    </a:xfrm>
                    <a:prstGeom prst="rect">
                      <a:avLst/>
                    </a:prstGeom>
                  </pic:spPr>
                </pic:pic>
              </a:graphicData>
            </a:graphic>
          </wp:inline>
        </w:drawing>
      </w:r>
      <w:r>
        <w:rPr>
          <w:rFonts w:hint="default" w:ascii="微软雅黑" w:hAnsi="微软雅黑" w:eastAsia="微软雅黑" w:cs="微软雅黑"/>
          <w:b/>
          <w:bCs/>
          <w:sz w:val="40"/>
          <w:szCs w:val="40"/>
          <w:lang w:val="en-US" w:eastAsia="zh-CN"/>
        </w:rPr>
        <w:drawing>
          <wp:inline distT="0" distB="0" distL="114300" distR="114300">
            <wp:extent cx="6476365" cy="704215"/>
            <wp:effectExtent l="0" t="0" r="635" b="635"/>
            <wp:docPr id="10" name="图片 10" descr="QQ截图2023101111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31011112424"/>
                    <pic:cNvPicPr>
                      <a:picLocks noChangeAspect="1"/>
                    </pic:cNvPicPr>
                  </pic:nvPicPr>
                  <pic:blipFill>
                    <a:blip r:embed="rId14"/>
                    <a:stretch>
                      <a:fillRect/>
                    </a:stretch>
                  </pic:blipFill>
                  <pic:spPr>
                    <a:xfrm>
                      <a:off x="0" y="0"/>
                      <a:ext cx="6476365" cy="704215"/>
                    </a:xfrm>
                    <a:prstGeom prst="rect">
                      <a:avLst/>
                    </a:prstGeom>
                  </pic:spPr>
                </pic:pic>
              </a:graphicData>
            </a:graphic>
          </wp:inline>
        </w:drawing>
      </w:r>
      <w:r>
        <w:rPr>
          <w:rFonts w:hint="default" w:ascii="微软雅黑" w:hAnsi="微软雅黑" w:eastAsia="微软雅黑" w:cs="微软雅黑"/>
          <w:b/>
          <w:bCs/>
          <w:sz w:val="40"/>
          <w:szCs w:val="40"/>
          <w:lang w:val="en-US" w:eastAsia="zh-CN"/>
        </w:rPr>
        <w:drawing>
          <wp:inline distT="0" distB="0" distL="114300" distR="114300">
            <wp:extent cx="6480810" cy="748665"/>
            <wp:effectExtent l="0" t="0" r="15240" b="13335"/>
            <wp:docPr id="7" name="图片 7" descr="QQ截图2023101111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231011112601"/>
                    <pic:cNvPicPr>
                      <a:picLocks noChangeAspect="1"/>
                    </pic:cNvPicPr>
                  </pic:nvPicPr>
                  <pic:blipFill>
                    <a:blip r:embed="rId15"/>
                    <a:stretch>
                      <a:fillRect/>
                    </a:stretch>
                  </pic:blipFill>
                  <pic:spPr>
                    <a:xfrm>
                      <a:off x="0" y="0"/>
                      <a:ext cx="6480810" cy="748665"/>
                    </a:xfrm>
                    <a:prstGeom prst="rect">
                      <a:avLst/>
                    </a:prstGeom>
                  </pic:spPr>
                </pic:pic>
              </a:graphicData>
            </a:graphic>
          </wp:inline>
        </w:drawing>
      </w:r>
      <w:r>
        <w:rPr>
          <w:rFonts w:hint="default" w:ascii="微软雅黑" w:hAnsi="微软雅黑" w:eastAsia="微软雅黑" w:cs="微软雅黑"/>
          <w:b/>
          <w:bCs/>
          <w:sz w:val="40"/>
          <w:szCs w:val="40"/>
          <w:lang w:val="en-US" w:eastAsia="zh-CN"/>
        </w:rPr>
        <w:drawing>
          <wp:inline distT="0" distB="0" distL="114300" distR="114300">
            <wp:extent cx="6473825" cy="617855"/>
            <wp:effectExtent l="0" t="0" r="3175" b="10795"/>
            <wp:docPr id="3" name="图片 3" descr="QQ截图2023101111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231011112615"/>
                    <pic:cNvPicPr>
                      <a:picLocks noChangeAspect="1"/>
                    </pic:cNvPicPr>
                  </pic:nvPicPr>
                  <pic:blipFill>
                    <a:blip r:embed="rId16"/>
                    <a:stretch>
                      <a:fillRect/>
                    </a:stretch>
                  </pic:blipFill>
                  <pic:spPr>
                    <a:xfrm>
                      <a:off x="0" y="0"/>
                      <a:ext cx="6473825" cy="6178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同类展会</w:t>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微软雅黑" w:hAnsi="微软雅黑" w:eastAsia="微软雅黑" w:cs="微软雅黑"/>
          <w:b/>
          <w:bCs/>
          <w:sz w:val="40"/>
          <w:szCs w:val="40"/>
          <w:lang w:val="en-US" w:eastAsia="zh-CN"/>
        </w:rPr>
      </w:pPr>
      <w:r>
        <w:rPr>
          <w:rFonts w:hint="default" w:ascii="微软雅黑" w:hAnsi="微软雅黑" w:eastAsia="微软雅黑" w:cs="微软雅黑"/>
          <w:b/>
          <w:bCs/>
          <w:sz w:val="40"/>
          <w:szCs w:val="40"/>
          <w:lang w:val="en-US" w:eastAsia="zh-CN"/>
        </w:rPr>
        <w:drawing>
          <wp:inline distT="0" distB="0" distL="114300" distR="114300">
            <wp:extent cx="6472555" cy="6597650"/>
            <wp:effectExtent l="0" t="0" r="4445" b="12700"/>
            <wp:docPr id="16" name="图片 16" descr="能源环保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能源环保1"/>
                    <pic:cNvPicPr>
                      <a:picLocks noChangeAspect="1"/>
                    </pic:cNvPicPr>
                  </pic:nvPicPr>
                  <pic:blipFill>
                    <a:blip r:embed="rId17"/>
                    <a:stretch>
                      <a:fillRect/>
                    </a:stretch>
                  </pic:blipFill>
                  <pic:spPr>
                    <a:xfrm>
                      <a:off x="0" y="0"/>
                      <a:ext cx="6472555" cy="6597650"/>
                    </a:xfrm>
                    <a:prstGeom prst="rect">
                      <a:avLst/>
                    </a:prstGeom>
                  </pic:spPr>
                </pic:pic>
              </a:graphicData>
            </a:graphic>
          </wp:inline>
        </w:drawing>
      </w:r>
      <w:r>
        <w:rPr>
          <w:rFonts w:hint="default" w:ascii="微软雅黑" w:hAnsi="微软雅黑" w:eastAsia="微软雅黑" w:cs="微软雅黑"/>
          <w:b/>
          <w:bCs/>
          <w:sz w:val="40"/>
          <w:szCs w:val="40"/>
          <w:lang w:val="en-US" w:eastAsia="zh-CN"/>
        </w:rPr>
        <w:drawing>
          <wp:inline distT="0" distB="0" distL="114300" distR="114300">
            <wp:extent cx="6472555" cy="5920105"/>
            <wp:effectExtent l="0" t="0" r="4445" b="4445"/>
            <wp:docPr id="17" name="图片 17" descr="能源环保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能源环保2"/>
                    <pic:cNvPicPr>
                      <a:picLocks noChangeAspect="1"/>
                    </pic:cNvPicPr>
                  </pic:nvPicPr>
                  <pic:blipFill>
                    <a:blip r:embed="rId18"/>
                    <a:stretch>
                      <a:fillRect/>
                    </a:stretch>
                  </pic:blipFill>
                  <pic:spPr>
                    <a:xfrm>
                      <a:off x="0" y="0"/>
                      <a:ext cx="6472555" cy="5920105"/>
                    </a:xfrm>
                    <a:prstGeom prst="rect">
                      <a:avLst/>
                    </a:prstGeom>
                  </pic:spPr>
                </pic:pic>
              </a:graphicData>
            </a:graphic>
          </wp:inline>
        </w:drawing>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ascii="微软雅黑" w:hAnsi="微软雅黑" w:eastAsia="微软雅黑" w:cs="微软雅黑"/>
          <w:b/>
          <w:bCs/>
          <w:sz w:val="40"/>
          <w:szCs w:val="40"/>
          <w:lang w:val="en-US" w:eastAsia="zh-CN"/>
        </w:rPr>
      </w:pPr>
    </w:p>
    <w:sectPr>
      <w:pgSz w:w="11906" w:h="16838"/>
      <w:pgMar w:top="567" w:right="850" w:bottom="567" w:left="85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PingFang-SC-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02DF0B"/>
    <w:multiLevelType w:val="singleLevel"/>
    <w:tmpl w:val="C902DF0B"/>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ZTUyNjZlMWNiZTRhYWQ0OWNkYjI5YjM0NGI4NGUifQ=="/>
  </w:docVars>
  <w:rsids>
    <w:rsidRoot w:val="00000000"/>
    <w:rsid w:val="044E12E6"/>
    <w:rsid w:val="06E13031"/>
    <w:rsid w:val="0B365CE9"/>
    <w:rsid w:val="0F2C7498"/>
    <w:rsid w:val="1024560E"/>
    <w:rsid w:val="14077076"/>
    <w:rsid w:val="17BC4C82"/>
    <w:rsid w:val="1A2D49E1"/>
    <w:rsid w:val="218477E9"/>
    <w:rsid w:val="2811796B"/>
    <w:rsid w:val="2AA42A1B"/>
    <w:rsid w:val="2B8307F5"/>
    <w:rsid w:val="341E7EBC"/>
    <w:rsid w:val="36F57628"/>
    <w:rsid w:val="37541A6B"/>
    <w:rsid w:val="3A057057"/>
    <w:rsid w:val="4AD330C3"/>
    <w:rsid w:val="4DA21367"/>
    <w:rsid w:val="4E6A2006"/>
    <w:rsid w:val="51E41418"/>
    <w:rsid w:val="5BDC51D4"/>
    <w:rsid w:val="5CD94967"/>
    <w:rsid w:val="5E007B96"/>
    <w:rsid w:val="62806114"/>
    <w:rsid w:val="652142E4"/>
    <w:rsid w:val="683242A3"/>
    <w:rsid w:val="6C2F6176"/>
    <w:rsid w:val="6FD967A8"/>
    <w:rsid w:val="703F2826"/>
    <w:rsid w:val="7BA76831"/>
    <w:rsid w:val="7EAC32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微软雅黑" w:hAnsi="微软雅黑" w:eastAsia="微软雅黑" w:cs="微软雅黑"/>
      <w:sz w:val="21"/>
      <w:szCs w:val="21"/>
      <w:lang w:val="en-US" w:eastAsia="en-US" w:bidi="ar-SA"/>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customStyle="1" w:styleId="6">
    <w:name w:val="Table Normal"/>
    <w:autoRedefine/>
    <w:semiHidden/>
    <w:unhideWhenUsed/>
    <w:qFormat/>
    <w:uiPriority w:val="0"/>
    <w:tblPr>
      <w:tblCellMar>
        <w:top w:w="0" w:type="dxa"/>
        <w:left w:w="0" w:type="dxa"/>
        <w:bottom w:w="0" w:type="dxa"/>
        <w:right w:w="0" w:type="dxa"/>
      </w:tblCellMar>
    </w:tblPr>
  </w:style>
  <w:style w:type="paragraph" w:styleId="7">
    <w:name w:val="List Paragraph"/>
    <w:basedOn w:val="1"/>
    <w:autoRedefine/>
    <w:qFormat/>
    <w:uiPriority w:val="34"/>
    <w:pPr>
      <w:ind w:firstLine="420" w:firstLineChars="200"/>
    </w:pPr>
  </w:style>
  <w:style w:type="character" w:customStyle="1" w:styleId="8">
    <w:name w:val="font11"/>
    <w:basedOn w:val="5"/>
    <w:autoRedefine/>
    <w:qFormat/>
    <w:uiPriority w:val="0"/>
    <w:rPr>
      <w:rFonts w:hint="eastAsia" w:ascii="微软雅黑" w:hAnsi="微软雅黑" w:eastAsia="微软雅黑" w:cs="微软雅黑"/>
      <w:color w:val="000000"/>
      <w:sz w:val="22"/>
      <w:szCs w:val="22"/>
      <w:u w:val="none"/>
    </w:rPr>
  </w:style>
  <w:style w:type="paragraph" w:customStyle="1" w:styleId="9">
    <w:name w:val="_04xlpa"/>
    <w:basedOn w:val="1"/>
    <w:autoRedefine/>
    <w:qFormat/>
    <w:uiPriority w:val="0"/>
    <w:pPr>
      <w:spacing w:before="100" w:beforeAutospacing="1" w:after="100" w:afterAutospacing="1"/>
    </w:pPr>
    <w:rPr>
      <w:rFonts w:ascii="宋体" w:hAnsi="宋体" w:eastAsia="宋体" w:cs="宋体"/>
      <w:color w:val="auto"/>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GI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1869</Words>
  <Characters>2015</Characters>
  <Lines>0</Lines>
  <Paragraphs>0</Paragraphs>
  <TotalTime>38</TotalTime>
  <ScaleCrop>false</ScaleCrop>
  <LinksUpToDate>false</LinksUpToDate>
  <CharactersWithSpaces>2057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2023-09-28T00:45:00Z</dcterms:created>
  <dc:creator>admin</dc:creator>
  <cp:lastModifiedBy>WPS_1699857115</cp:lastModifiedBy>
  <dcterms:modified xsi:type="dcterms:W3CDTF">2024-01-04T06:17:32Z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D587F0D87A854DE6A7F81288F7E8A489_12</vt:lpwstr>
  </property>
</Properties>
</file>