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宋体"/>
          <w:lang w:eastAsia="zh-CN"/>
        </w:rPr>
      </w:pPr>
      <w:r>
        <w:rPr>
          <w:rFonts w:hint="eastAsia" w:eastAsia="宋体"/>
          <w:lang w:eastAsia="zh-CN"/>
        </w:rPr>
        <w:drawing>
          <wp:inline distT="0" distB="0" distL="114300" distR="114300">
            <wp:extent cx="6426835" cy="2856865"/>
            <wp:effectExtent l="0" t="0" r="12065" b="635"/>
            <wp:docPr id="4" name="图片 4" descr="微信图片_202309271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927141834"/>
                    <pic:cNvPicPr>
                      <a:picLocks noChangeAspect="1"/>
                    </pic:cNvPicPr>
                  </pic:nvPicPr>
                  <pic:blipFill>
                    <a:blip r:embed="rId4"/>
                    <a:stretch>
                      <a:fillRect/>
                    </a:stretch>
                  </pic:blipFill>
                  <pic:spPr>
                    <a:xfrm>
                      <a:off x="0" y="0"/>
                      <a:ext cx="6426835" cy="2856865"/>
                    </a:xfrm>
                    <a:prstGeom prst="rect">
                      <a:avLst/>
                    </a:prstGeom>
                  </pic:spPr>
                </pic:pic>
              </a:graphicData>
            </a:graphic>
          </wp:inline>
        </w:drawing>
      </w:r>
    </w:p>
    <w:p>
      <w:pPr>
        <w:pStyle w:val="2"/>
        <w:jc w:val="center"/>
        <w:rPr>
          <w:rFonts w:hint="default"/>
          <w:sz w:val="72"/>
          <w:szCs w:val="72"/>
          <w:lang w:val="en-US"/>
        </w:rPr>
      </w:pPr>
      <w:r>
        <w:rPr>
          <w:rFonts w:hint="eastAsia" w:ascii="微软雅黑" w:hAnsi="微软雅黑" w:eastAsia="微软雅黑" w:cs="微软雅黑"/>
          <w:b/>
          <w:bCs/>
          <w:kern w:val="0"/>
          <w:sz w:val="72"/>
          <w:szCs w:val="72"/>
          <w:lang w:val="en-US" w:eastAsia="zh-CN"/>
        </w:rPr>
        <w:t>2024年沙特智慧城市博览会</w:t>
      </w:r>
    </w:p>
    <w:p>
      <w:pPr>
        <w:jc w:val="center"/>
        <w:rPr>
          <w:rFonts w:hint="eastAsia" w:eastAsiaTheme="minorEastAsia"/>
          <w:lang w:eastAsia="zh-CN"/>
        </w:rPr>
      </w:pPr>
      <w:r>
        <w:rPr>
          <w:rFonts w:hint="eastAsia" w:ascii="微软雅黑" w:hAnsi="微软雅黑" w:eastAsia="微软雅黑" w:cs="微软雅黑"/>
          <w:b/>
          <w:bCs/>
          <w:kern w:val="0"/>
          <w:sz w:val="56"/>
          <w:szCs w:val="56"/>
          <w:lang w:val="en-US" w:eastAsia="zh-CN"/>
        </w:rPr>
        <w:drawing>
          <wp:inline distT="0" distB="0" distL="114300" distR="114300">
            <wp:extent cx="2323465" cy="1032510"/>
            <wp:effectExtent l="0" t="0" r="0" b="0"/>
            <wp:docPr id="2" name="图片 2" descr="沙特智慧城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沙特智慧城市"/>
                    <pic:cNvPicPr>
                      <a:picLocks noChangeAspect="1"/>
                    </pic:cNvPicPr>
                  </pic:nvPicPr>
                  <pic:blipFill>
                    <a:blip r:embed="rId5"/>
                    <a:srcRect t="13145" b="12893"/>
                    <a:stretch>
                      <a:fillRect/>
                    </a:stretch>
                  </pic:blipFill>
                  <pic:spPr>
                    <a:xfrm>
                      <a:off x="0" y="0"/>
                      <a:ext cx="2323465" cy="1032510"/>
                    </a:xfrm>
                    <a:prstGeom prst="rect">
                      <a:avLst/>
                    </a:prstGeom>
                  </pic:spPr>
                </pic:pic>
              </a:graphicData>
            </a:graphic>
          </wp:inline>
        </w:drawing>
      </w:r>
    </w:p>
    <w:p>
      <w:pPr>
        <w:jc w:val="center"/>
        <w:rPr>
          <w:rFonts w:hint="eastAsia" w:ascii="微软雅黑" w:hAnsi="微软雅黑" w:eastAsia="微软雅黑" w:cs="微软雅黑"/>
          <w:b/>
          <w:bCs/>
          <w:sz w:val="18"/>
          <w:szCs w:val="18"/>
          <w:lang w:val="en-US" w:eastAsia="zh-CN"/>
        </w:rPr>
      </w:pPr>
    </w:p>
    <w:p>
      <w:pPr>
        <w:jc w:val="left"/>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展会介绍</w:t>
      </w:r>
    </w:p>
    <w:p>
      <w:pPr>
        <w:pStyle w:val="4"/>
        <w:spacing w:before="159" w:line="187" w:lineRule="auto"/>
        <w:ind w:left="169"/>
        <w:jc w:val="left"/>
        <w:rPr>
          <w:rFonts w:hint="eastAsia"/>
          <w:b/>
          <w:bCs/>
          <w:color w:val="050E17"/>
          <w:spacing w:val="9"/>
          <w:sz w:val="28"/>
          <w:szCs w:val="28"/>
        </w:rPr>
      </w:pP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展会时间</w:t>
      </w:r>
      <w:r>
        <w:rPr>
          <w:rFonts w:hint="eastAsia"/>
          <w:b/>
          <w:bCs/>
          <w:color w:val="050E17"/>
          <w:spacing w:val="9"/>
          <w:sz w:val="28"/>
          <w:szCs w:val="28"/>
          <w:lang w:eastAsia="zh-CN"/>
        </w:rPr>
        <w:t>：</w:t>
      </w:r>
      <w:r>
        <w:rPr>
          <w:b/>
          <w:bCs/>
          <w:color w:val="050E17"/>
          <w:spacing w:val="9"/>
          <w:sz w:val="28"/>
          <w:szCs w:val="28"/>
        </w:rPr>
        <w:t>2024年</w:t>
      </w:r>
      <w:r>
        <w:rPr>
          <w:rFonts w:hint="eastAsia"/>
          <w:b/>
          <w:bCs/>
          <w:color w:val="050E17"/>
          <w:spacing w:val="9"/>
          <w:sz w:val="28"/>
          <w:szCs w:val="28"/>
          <w:lang w:val="en-US" w:eastAsia="zh-CN"/>
        </w:rPr>
        <w:t>9</w:t>
      </w:r>
      <w:r>
        <w:rPr>
          <w:b/>
          <w:bCs/>
          <w:color w:val="050E17"/>
          <w:spacing w:val="9"/>
          <w:sz w:val="28"/>
          <w:szCs w:val="28"/>
        </w:rPr>
        <w:t>月</w:t>
      </w:r>
      <w:r>
        <w:rPr>
          <w:rFonts w:hint="eastAsia"/>
          <w:b/>
          <w:bCs/>
          <w:color w:val="050E17"/>
          <w:spacing w:val="9"/>
          <w:sz w:val="28"/>
          <w:szCs w:val="28"/>
          <w:lang w:val="en-US" w:eastAsia="zh-CN"/>
        </w:rPr>
        <w:t>24-26</w:t>
      </w:r>
      <w:r>
        <w:rPr>
          <w:b/>
          <w:bCs/>
          <w:color w:val="050E17"/>
          <w:spacing w:val="9"/>
          <w:sz w:val="28"/>
          <w:szCs w:val="28"/>
        </w:rPr>
        <w:t>日</w:t>
      </w:r>
      <w:r>
        <w:rPr>
          <w:rFonts w:hint="eastAsia"/>
          <w:b/>
          <w:bCs/>
          <w:color w:val="050E17"/>
          <w:spacing w:val="9"/>
          <w:sz w:val="28"/>
          <w:szCs w:val="28"/>
          <w:lang w:val="en-US" w:eastAsia="zh-CN"/>
        </w:rPr>
        <w:t xml:space="preserve">       </w:t>
      </w:r>
      <w:r>
        <w:rPr>
          <w:b/>
          <w:bCs/>
          <w:color w:val="050E17"/>
          <w:spacing w:val="9"/>
          <w:sz w:val="28"/>
          <w:szCs w:val="28"/>
        </w:rPr>
        <w:t>展会地点</w:t>
      </w:r>
      <w:r>
        <w:rPr>
          <w:rFonts w:hint="eastAsia"/>
          <w:b/>
          <w:bCs/>
          <w:color w:val="050E17"/>
          <w:spacing w:val="9"/>
          <w:sz w:val="28"/>
          <w:szCs w:val="28"/>
          <w:lang w:eastAsia="zh-CN"/>
        </w:rPr>
        <w:t>：</w:t>
      </w:r>
      <w:r>
        <w:rPr>
          <w:b/>
          <w:bCs/>
          <w:color w:val="050E17"/>
          <w:spacing w:val="9"/>
          <w:sz w:val="28"/>
          <w:szCs w:val="28"/>
        </w:rPr>
        <w:t>利雅得</w:t>
      </w:r>
      <w:r>
        <w:rPr>
          <w:rFonts w:hint="eastAsia"/>
          <w:b/>
          <w:bCs/>
          <w:color w:val="050E17"/>
          <w:spacing w:val="9"/>
          <w:sz w:val="28"/>
          <w:szCs w:val="28"/>
          <w:lang w:val="en-US" w:eastAsia="zh-CN"/>
        </w:rPr>
        <w:t>国际会展</w:t>
      </w:r>
      <w:r>
        <w:rPr>
          <w:b/>
          <w:bCs/>
          <w:color w:val="050E17"/>
          <w:spacing w:val="9"/>
          <w:sz w:val="28"/>
          <w:szCs w:val="28"/>
        </w:rPr>
        <w:t>中心</w:t>
      </w:r>
    </w:p>
    <w:p>
      <w:pPr>
        <w:pStyle w:val="4"/>
        <w:spacing w:before="159" w:line="187" w:lineRule="auto"/>
        <w:ind w:left="169"/>
        <w:jc w:val="left"/>
        <w:rPr>
          <w:rFonts w:hint="default"/>
          <w:b/>
          <w:bCs/>
          <w:color w:val="auto"/>
          <w:spacing w:val="5"/>
          <w:sz w:val="24"/>
          <w:szCs w:val="24"/>
          <w:lang w:val="en-US" w:eastAsia="zh-CN"/>
        </w:rPr>
      </w:pPr>
      <w:r>
        <w:rPr>
          <w:position w:val="-61"/>
        </w:rPr>
        <w:drawing>
          <wp:anchor distT="0" distB="0" distL="0" distR="0" simplePos="0" relativeHeight="251659264" behindDoc="0" locked="0" layoutInCell="1" allowOverlap="1">
            <wp:simplePos x="0" y="0"/>
            <wp:positionH relativeFrom="column">
              <wp:posOffset>83185</wp:posOffset>
            </wp:positionH>
            <wp:positionV relativeFrom="paragraph">
              <wp:posOffset>671195</wp:posOffset>
            </wp:positionV>
            <wp:extent cx="6416675" cy="2728595"/>
            <wp:effectExtent l="0" t="0" r="3175" b="14605"/>
            <wp:wrapTopAndBottom/>
            <wp:docPr id="6" name="IM 6" descr="E:/李姗/MIE/Untitled-design-86.pngUntitled-design-86"/>
            <wp:cNvGraphicFramePr/>
            <a:graphic xmlns:a="http://schemas.openxmlformats.org/drawingml/2006/main">
              <a:graphicData uri="http://schemas.openxmlformats.org/drawingml/2006/picture">
                <pic:pic xmlns:pic="http://schemas.openxmlformats.org/drawingml/2006/picture">
                  <pic:nvPicPr>
                    <pic:cNvPr id="6" name="IM 6" descr="E:/李姗/MIE/Untitled-design-86.pngUntitled-design-86"/>
                    <pic:cNvPicPr/>
                  </pic:nvPicPr>
                  <pic:blipFill>
                    <a:blip r:embed="rId6"/>
                    <a:srcRect l="148" t="10750" r="-148" b="25450"/>
                    <a:stretch>
                      <a:fillRect/>
                    </a:stretch>
                  </pic:blipFill>
                  <pic:spPr>
                    <a:xfrm>
                      <a:off x="0" y="0"/>
                      <a:ext cx="6416675" cy="2728595"/>
                    </a:xfrm>
                    <a:prstGeom prst="rect">
                      <a:avLst/>
                    </a:prstGeom>
                  </pic:spPr>
                </pic:pic>
              </a:graphicData>
            </a:graphic>
          </wp:anchor>
        </w:drawing>
      </w:r>
      <w:r>
        <w:rPr>
          <w:rFonts w:hint="eastAsia"/>
          <w:b/>
          <w:bCs/>
          <w:color w:val="050E17"/>
          <w:spacing w:val="9"/>
          <w:sz w:val="28"/>
          <w:szCs w:val="28"/>
        </w:rPr>
        <w:t>●</w:t>
      </w:r>
      <w:r>
        <w:rPr>
          <w:rFonts w:hint="eastAsia"/>
          <w:b/>
          <w:bCs/>
          <w:color w:val="050E17"/>
          <w:spacing w:val="9"/>
          <w:sz w:val="28"/>
          <w:szCs w:val="28"/>
          <w:lang w:val="en-US" w:eastAsia="zh-CN"/>
        </w:rPr>
        <w:t xml:space="preserve"> </w:t>
      </w:r>
      <w:r>
        <w:rPr>
          <w:b/>
          <w:bCs/>
          <w:color w:val="050E17"/>
          <w:spacing w:val="9"/>
          <w:sz w:val="28"/>
          <w:szCs w:val="28"/>
        </w:rPr>
        <w:t>主办单位</w:t>
      </w:r>
      <w:r>
        <w:rPr>
          <w:rFonts w:hint="eastAsia"/>
          <w:b/>
          <w:bCs/>
          <w:color w:val="050E17"/>
          <w:spacing w:val="9"/>
          <w:sz w:val="28"/>
          <w:szCs w:val="28"/>
          <w:lang w:eastAsia="zh-CN"/>
        </w:rPr>
        <w:t>：</w:t>
      </w:r>
      <w:r>
        <w:rPr>
          <w:b/>
          <w:bCs/>
          <w:color w:val="050E17"/>
          <w:spacing w:val="9"/>
          <w:sz w:val="28"/>
          <w:szCs w:val="28"/>
        </w:rPr>
        <w:t>DMG</w:t>
      </w:r>
      <w:r>
        <w:rPr>
          <w:rFonts w:hint="eastAsia"/>
          <w:b/>
          <w:bCs/>
          <w:color w:val="050E17"/>
          <w:spacing w:val="9"/>
          <w:sz w:val="28"/>
          <w:szCs w:val="28"/>
          <w:lang w:val="en-US" w:eastAsia="zh-CN"/>
        </w:rPr>
        <w:t xml:space="preserve">                     展会类型：建筑建材</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default" w:ascii="微软雅黑" w:hAnsi="微软雅黑" w:eastAsia="微软雅黑"/>
          <w:sz w:val="28"/>
          <w:szCs w:val="28"/>
          <w:lang w:val="en-US" w:eastAsia="zh-CN"/>
        </w:rPr>
      </w:pPr>
      <w:r>
        <w:rPr>
          <w:rFonts w:hint="eastAsia" w:ascii="微软雅黑" w:hAnsi="微软雅黑" w:eastAsia="微软雅黑"/>
          <w:sz w:val="28"/>
          <w:szCs w:val="28"/>
          <w:lang w:val="en-US" w:eastAsia="zh-CN"/>
        </w:rPr>
        <w:t>沙特智慧城市博览会</w:t>
      </w:r>
      <w:r>
        <w:rPr>
          <w:rFonts w:hint="default" w:ascii="微软雅黑" w:hAnsi="微软雅黑" w:eastAsia="微软雅黑"/>
          <w:sz w:val="28"/>
          <w:szCs w:val="28"/>
          <w:lang w:val="en-US" w:eastAsia="zh-CN"/>
        </w:rPr>
        <w:t>将推动沙特阿拉伯的城市发展，目前该国超过85%的人口居住在城市地区。该活动专为认知环境而设计，将展示和讨论智慧城市如何利用新兴技术来应对城市挑战、更好地管理资源并建立可持续、互联的基础设施。参展将使您能够在这个利润丰厚的市场中赢得业务，并与政府代表和利基参观者（包括城市规划者和政策制定者）建立宝贵的联系。</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rPr>
      </w:pPr>
      <w:r>
        <w:rPr>
          <w:rFonts w:hint="eastAsia" w:ascii="微软雅黑" w:hAnsi="微软雅黑" w:eastAsia="微软雅黑"/>
          <w:sz w:val="28"/>
          <w:szCs w:val="28"/>
        </w:rPr>
        <w:t>2024年</w:t>
      </w:r>
      <w:r>
        <w:rPr>
          <w:rFonts w:hint="eastAsia" w:ascii="微软雅黑" w:hAnsi="微软雅黑" w:eastAsia="微软雅黑"/>
          <w:sz w:val="28"/>
          <w:szCs w:val="28"/>
          <w:lang w:val="en-US" w:eastAsia="zh-CN"/>
        </w:rPr>
        <w:t>沙特智慧城市博览会</w:t>
      </w:r>
      <w:r>
        <w:rPr>
          <w:rFonts w:hint="eastAsia" w:ascii="微软雅黑" w:hAnsi="微软雅黑" w:eastAsia="微软雅黑"/>
          <w:sz w:val="28"/>
          <w:szCs w:val="28"/>
        </w:rPr>
        <w:t>将于9月</w:t>
      </w:r>
      <w:r>
        <w:rPr>
          <w:rFonts w:hint="eastAsia" w:ascii="微软雅黑" w:hAnsi="微软雅黑" w:eastAsia="微软雅黑"/>
          <w:sz w:val="28"/>
          <w:szCs w:val="28"/>
          <w:lang w:val="en-US" w:eastAsia="zh-CN"/>
        </w:rPr>
        <w:t>24-26</w:t>
      </w:r>
      <w:r>
        <w:rPr>
          <w:rFonts w:hint="eastAsia" w:ascii="微软雅黑" w:hAnsi="微软雅黑" w:eastAsia="微软雅黑"/>
          <w:sz w:val="28"/>
          <w:szCs w:val="28"/>
        </w:rPr>
        <w:t>日在利雅得</w:t>
      </w:r>
      <w:r>
        <w:rPr>
          <w:rFonts w:hint="eastAsia" w:ascii="微软雅黑" w:hAnsi="微软雅黑" w:eastAsia="微软雅黑"/>
          <w:sz w:val="28"/>
          <w:szCs w:val="28"/>
          <w:lang w:val="en-US" w:eastAsia="zh-CN"/>
        </w:rPr>
        <w:t>国际会展</w:t>
      </w:r>
      <w:r>
        <w:rPr>
          <w:rFonts w:hint="eastAsia" w:ascii="微软雅黑" w:hAnsi="微软雅黑" w:eastAsia="微软雅黑"/>
          <w:sz w:val="28"/>
          <w:szCs w:val="28"/>
        </w:rPr>
        <w:t>中心举办，</w:t>
      </w:r>
      <w:r>
        <w:rPr>
          <w:rFonts w:hint="eastAsia" w:ascii="微软雅黑" w:hAnsi="微软雅黑" w:eastAsia="微软雅黑"/>
          <w:sz w:val="28"/>
          <w:szCs w:val="28"/>
          <w:lang w:val="en-US" w:eastAsia="zh-CN"/>
        </w:rPr>
        <w:t>将有</w:t>
      </w:r>
      <w:bookmarkStart w:id="0" w:name="_GoBack"/>
      <w:bookmarkEnd w:id="0"/>
      <w:r>
        <w:rPr>
          <w:rFonts w:hint="eastAsia" w:ascii="微软雅黑" w:hAnsi="微软雅黑" w:eastAsia="微软雅黑"/>
          <w:sz w:val="28"/>
          <w:szCs w:val="28"/>
          <w:lang w:val="en-US" w:eastAsia="zh-CN"/>
        </w:rPr>
        <w:t>来自30多个国家的350</w:t>
      </w:r>
      <w:r>
        <w:rPr>
          <w:rFonts w:hint="eastAsia" w:ascii="微软雅黑" w:hAnsi="微软雅黑" w:eastAsia="微软雅黑"/>
          <w:sz w:val="28"/>
          <w:szCs w:val="28"/>
        </w:rPr>
        <w:t>家</w:t>
      </w:r>
      <w:r>
        <w:rPr>
          <w:rFonts w:hint="eastAsia" w:ascii="微软雅黑" w:hAnsi="微软雅黑" w:eastAsia="微软雅黑"/>
          <w:sz w:val="28"/>
          <w:szCs w:val="28"/>
          <w:lang w:val="en-US" w:eastAsia="zh-CN"/>
        </w:rPr>
        <w:t>展商参展，参展观众达到17,000人，展会面积25,000平方米</w:t>
      </w:r>
      <w:r>
        <w:rPr>
          <w:rFonts w:hint="eastAsia" w:ascii="微软雅黑" w:hAnsi="微软雅黑" w:eastAsia="微软雅黑"/>
          <w:sz w:val="28"/>
          <w:szCs w:val="28"/>
        </w:rPr>
        <w:t>。</w:t>
      </w:r>
    </w:p>
    <w:tbl>
      <w:tblPr>
        <w:tblStyle w:val="9"/>
        <w:tblpPr w:leftFromText="180" w:rightFromText="180" w:vertAnchor="text" w:horzAnchor="page" w:tblpXSpec="center" w:tblpY="234"/>
        <w:tblOverlap w:val="never"/>
        <w:tblW w:w="96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2432"/>
        <w:gridCol w:w="2419"/>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jc w:val="center"/>
        </w:trPr>
        <w:tc>
          <w:tcPr>
            <w:tcW w:w="2412" w:type="dxa"/>
            <w:shd w:val="clear" w:color="auto" w:fill="4069DD"/>
            <w:vAlign w:val="top"/>
          </w:tcPr>
          <w:p>
            <w:pPr>
              <w:spacing w:before="211" w:line="190" w:lineRule="auto"/>
              <w:ind w:left="685"/>
              <w:rPr>
                <w:rFonts w:ascii="微软雅黑" w:hAnsi="微软雅黑" w:eastAsia="微软雅黑" w:cs="微软雅黑"/>
                <w:sz w:val="28"/>
                <w:szCs w:val="28"/>
              </w:rPr>
            </w:pPr>
            <w:r>
              <w:rPr>
                <w:rFonts w:ascii="微软雅黑" w:hAnsi="微软雅黑" w:eastAsia="微软雅黑" w:cs="微软雅黑"/>
                <w:color w:val="FFFFFF"/>
                <w:spacing w:val="3"/>
                <w:sz w:val="28"/>
                <w:szCs w:val="28"/>
              </w:rPr>
              <w:t>国际展商</w:t>
            </w:r>
          </w:p>
        </w:tc>
        <w:tc>
          <w:tcPr>
            <w:tcW w:w="2432" w:type="dxa"/>
            <w:shd w:val="clear" w:color="auto" w:fill="4069DD"/>
            <w:vAlign w:val="top"/>
          </w:tcPr>
          <w:p>
            <w:pPr>
              <w:spacing w:before="210" w:line="189" w:lineRule="auto"/>
              <w:ind w:left="681"/>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参展人数</w:t>
            </w:r>
          </w:p>
        </w:tc>
        <w:tc>
          <w:tcPr>
            <w:tcW w:w="2419" w:type="dxa"/>
            <w:shd w:val="clear" w:color="auto" w:fill="4069DD"/>
            <w:vAlign w:val="top"/>
          </w:tcPr>
          <w:p>
            <w:pPr>
              <w:spacing w:before="210" w:line="191" w:lineRule="auto"/>
              <w:ind w:left="678"/>
              <w:rPr>
                <w:rFonts w:ascii="微软雅黑" w:hAnsi="微软雅黑" w:eastAsia="微软雅黑" w:cs="微软雅黑"/>
                <w:sz w:val="28"/>
                <w:szCs w:val="28"/>
              </w:rPr>
            </w:pPr>
            <w:r>
              <w:rPr>
                <w:rFonts w:ascii="微软雅黑" w:hAnsi="微软雅黑" w:eastAsia="微软雅黑" w:cs="微软雅黑"/>
                <w:color w:val="FFFFFF"/>
                <w:spacing w:val="6"/>
                <w:sz w:val="28"/>
                <w:szCs w:val="28"/>
              </w:rPr>
              <w:t>辐射国家</w:t>
            </w:r>
          </w:p>
        </w:tc>
        <w:tc>
          <w:tcPr>
            <w:tcW w:w="2426" w:type="dxa"/>
            <w:shd w:val="clear" w:color="auto" w:fill="4069DD"/>
            <w:vAlign w:val="top"/>
          </w:tcPr>
          <w:p>
            <w:pPr>
              <w:spacing w:before="211" w:line="189" w:lineRule="auto"/>
              <w:ind w:left="679"/>
              <w:rPr>
                <w:rFonts w:ascii="微软雅黑" w:hAnsi="微软雅黑" w:eastAsia="微软雅黑" w:cs="微软雅黑"/>
                <w:sz w:val="28"/>
                <w:szCs w:val="28"/>
              </w:rPr>
            </w:pPr>
            <w:r>
              <w:rPr>
                <w:rFonts w:ascii="微软雅黑" w:hAnsi="微软雅黑" w:eastAsia="微软雅黑" w:cs="微软雅黑"/>
                <w:color w:val="FFFFFF"/>
                <w:spacing w:val="7"/>
                <w:sz w:val="28"/>
                <w:szCs w:val="28"/>
              </w:rPr>
              <w:t>展会面积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jc w:val="center"/>
        </w:trPr>
        <w:tc>
          <w:tcPr>
            <w:tcW w:w="2412" w:type="dxa"/>
            <w:vAlign w:val="top"/>
          </w:tcPr>
          <w:p>
            <w:pPr>
              <w:spacing w:before="227" w:line="214" w:lineRule="auto"/>
              <w:ind w:left="826"/>
              <w:rPr>
                <w:rFonts w:ascii="微软雅黑" w:hAnsi="微软雅黑" w:eastAsia="微软雅黑" w:cs="微软雅黑"/>
                <w:sz w:val="28"/>
                <w:szCs w:val="28"/>
              </w:rPr>
            </w:pPr>
            <w:r>
              <w:rPr>
                <w:rFonts w:hint="eastAsia" w:ascii="微软雅黑" w:hAnsi="微软雅黑" w:eastAsia="微软雅黑" w:cs="微软雅黑"/>
                <w:spacing w:val="-8"/>
                <w:sz w:val="28"/>
                <w:szCs w:val="28"/>
                <w:lang w:val="en-US" w:eastAsia="zh-CN"/>
              </w:rPr>
              <w:t>350</w:t>
            </w:r>
            <w:r>
              <w:rPr>
                <w:rFonts w:ascii="微软雅黑" w:hAnsi="微软雅黑" w:eastAsia="微软雅黑" w:cs="微软雅黑"/>
                <w:spacing w:val="-8"/>
                <w:sz w:val="28"/>
                <w:szCs w:val="28"/>
              </w:rPr>
              <w:t>+</w:t>
            </w:r>
          </w:p>
        </w:tc>
        <w:tc>
          <w:tcPr>
            <w:tcW w:w="2432" w:type="dxa"/>
            <w:vAlign w:val="top"/>
          </w:tcPr>
          <w:p>
            <w:pPr>
              <w:spacing w:before="225" w:line="197" w:lineRule="auto"/>
              <w:jc w:val="center"/>
              <w:rPr>
                <w:rFonts w:ascii="微软雅黑" w:hAnsi="微软雅黑" w:eastAsia="微软雅黑" w:cs="微软雅黑"/>
                <w:sz w:val="28"/>
                <w:szCs w:val="28"/>
              </w:rPr>
            </w:pPr>
            <w:r>
              <w:rPr>
                <w:rFonts w:hint="eastAsia" w:ascii="微软雅黑" w:hAnsi="微软雅黑" w:eastAsia="微软雅黑" w:cs="微软雅黑"/>
                <w:spacing w:val="-3"/>
                <w:sz w:val="28"/>
                <w:szCs w:val="28"/>
                <w:lang w:val="en-US" w:eastAsia="zh-CN"/>
              </w:rPr>
              <w:t>17</w:t>
            </w:r>
            <w:r>
              <w:rPr>
                <w:rFonts w:ascii="微软雅黑" w:hAnsi="微软雅黑" w:eastAsia="微软雅黑" w:cs="微软雅黑"/>
                <w:spacing w:val="-3"/>
                <w:sz w:val="28"/>
                <w:szCs w:val="28"/>
              </w:rPr>
              <w:t>,000+</w:t>
            </w:r>
          </w:p>
        </w:tc>
        <w:tc>
          <w:tcPr>
            <w:tcW w:w="2419" w:type="dxa"/>
            <w:vAlign w:val="top"/>
          </w:tcPr>
          <w:p>
            <w:pPr>
              <w:spacing w:before="227" w:line="214" w:lineRule="auto"/>
              <w:ind w:left="933"/>
              <w:rPr>
                <w:rFonts w:ascii="微软雅黑" w:hAnsi="微软雅黑" w:eastAsia="微软雅黑" w:cs="微软雅黑"/>
                <w:sz w:val="28"/>
                <w:szCs w:val="28"/>
              </w:rPr>
            </w:pPr>
            <w:r>
              <w:rPr>
                <w:rFonts w:hint="eastAsia" w:ascii="微软雅黑" w:hAnsi="微软雅黑" w:eastAsia="微软雅黑" w:cs="微软雅黑"/>
                <w:color w:val="auto"/>
                <w:spacing w:val="-10"/>
                <w:sz w:val="28"/>
                <w:szCs w:val="28"/>
                <w:lang w:val="en-US" w:eastAsia="zh-CN"/>
              </w:rPr>
              <w:t>500</w:t>
            </w:r>
            <w:r>
              <w:rPr>
                <w:rFonts w:ascii="微软雅黑" w:hAnsi="微软雅黑" w:eastAsia="微软雅黑" w:cs="微软雅黑"/>
                <w:color w:val="auto"/>
                <w:spacing w:val="-10"/>
                <w:sz w:val="28"/>
                <w:szCs w:val="28"/>
              </w:rPr>
              <w:t>+</w:t>
            </w:r>
          </w:p>
        </w:tc>
        <w:tc>
          <w:tcPr>
            <w:tcW w:w="2426" w:type="dxa"/>
            <w:vAlign w:val="top"/>
          </w:tcPr>
          <w:p>
            <w:pPr>
              <w:spacing w:before="225" w:line="197" w:lineRule="auto"/>
              <w:ind w:left="587"/>
              <w:rPr>
                <w:rFonts w:ascii="微软雅黑" w:hAnsi="微软雅黑" w:eastAsia="微软雅黑" w:cs="微软雅黑"/>
                <w:sz w:val="28"/>
                <w:szCs w:val="28"/>
              </w:rPr>
            </w:pPr>
            <w:r>
              <w:rPr>
                <w:rFonts w:hint="eastAsia" w:ascii="微软雅黑" w:hAnsi="微软雅黑" w:eastAsia="微软雅黑" w:cs="微软雅黑"/>
                <w:color w:val="auto"/>
                <w:spacing w:val="-3"/>
                <w:sz w:val="28"/>
                <w:szCs w:val="28"/>
                <w:lang w:val="en-US" w:eastAsia="zh-CN"/>
              </w:rPr>
              <w:t>25,</w:t>
            </w:r>
            <w:r>
              <w:rPr>
                <w:rFonts w:ascii="微软雅黑" w:hAnsi="微软雅黑" w:eastAsia="微软雅黑" w:cs="微软雅黑"/>
                <w:color w:val="auto"/>
                <w:spacing w:val="-3"/>
                <w:sz w:val="28"/>
                <w:szCs w:val="28"/>
              </w:rPr>
              <w:t>000+</w:t>
            </w:r>
          </w:p>
        </w:tc>
      </w:tr>
    </w:tbl>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18"/>
          <w:szCs w:val="18"/>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rFonts w:hint="eastAsia" w:ascii="微软雅黑" w:hAnsi="微软雅黑" w:eastAsia="微软雅黑" w:cs="微软雅黑"/>
          <w:b/>
          <w:bCs/>
          <w:sz w:val="40"/>
          <w:szCs w:val="40"/>
          <w:lang w:val="en-US" w:eastAsia="zh-CN"/>
        </w:rPr>
        <w:t>市场机遇</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position w:val="-71"/>
        </w:rPr>
      </w:pPr>
      <w:r>
        <w:rPr>
          <w:position w:val="-71"/>
        </w:rPr>
        <w:drawing>
          <wp:inline distT="0" distB="0" distL="0" distR="0">
            <wp:extent cx="6415405" cy="2728595"/>
            <wp:effectExtent l="0" t="0" r="4445" b="14605"/>
            <wp:docPr id="8" name="IM 8" descr="E:/李姗/MIE/R6_11243Resize.jpgR6_11243Resize"/>
            <wp:cNvGraphicFramePr/>
            <a:graphic xmlns:a="http://schemas.openxmlformats.org/drawingml/2006/main">
              <a:graphicData uri="http://schemas.openxmlformats.org/drawingml/2006/picture">
                <pic:pic xmlns:pic="http://schemas.openxmlformats.org/drawingml/2006/picture">
                  <pic:nvPicPr>
                    <pic:cNvPr id="8" name="IM 8" descr="E:/李姗/MIE/R6_11243Resize.jpgR6_11243Resize"/>
                    <pic:cNvPicPr/>
                  </pic:nvPicPr>
                  <pic:blipFill>
                    <a:blip r:embed="rId7"/>
                    <a:srcRect t="18104" b="18104"/>
                    <a:stretch>
                      <a:fillRect/>
                    </a:stretch>
                  </pic:blipFill>
                  <pic:spPr>
                    <a:xfrm>
                      <a:off x="0" y="0"/>
                      <a:ext cx="6415405" cy="27285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200"/>
        <w:textAlignment w:val="auto"/>
        <w:rPr>
          <w:rFonts w:hint="eastAsia" w:ascii="微软雅黑" w:hAnsi="微软雅黑" w:eastAsia="微软雅黑" w:cs="宋体"/>
          <w:kern w:val="0"/>
          <w:sz w:val="11"/>
          <w:szCs w:val="11"/>
        </w:rPr>
      </w:pP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沙特智慧城市博览会，作为“2030愿景”的重要组成部分，不仅致力于推动经济增长，更着眼于为居民和游客打造安全、高效、互联和可持续的城市环境。这一愿景与沙特迅速城市化的趋势不谋而合，超过85%的人口居住在城市地区，为人口统计学、基础设施需求和城市规划战略带来了重大挑战。在这样的背景下，沙特阿拉伯的智慧城市市场规模正迅速扩大，从2019年的35.521亿美元增长到预计的2027年的147.452亿美元，显示了其巨大的增长潜力和发展前景。</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在数字化浪潮的推动下，沙特正积极布局数字基础设施，以应对城市化带来的挑战。从高速互联网网络的广泛部署，到数据中心的建立，再到智慧城市解决方案的实施，沙特展现出对数字未来的坚定信心和热切追求。预计到2025年，沙特的数字基础设施市场将达到180亿美元，进一步突显了其在数字化转型方面的巨大潜力。</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数字化转型不仅为沙特带来了经济增长的新动力，更在日常生活中产生了深远影响。例如，吉达滨海路的开发项目不仅改善了城市交通状况，还为市民提供了更加便利的生活条件。阿卜杜拉国王科技大学的建立则为沙特培养了大量高素质的科技人才，为知识型经济的发展奠定了基础。费萨尔国王专科医院和研究中心的扩建则进一步提升了沙特在医疗领域的实力，为居民提供了更加优质的医疗服务。</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同时，沙特也积极应对全球气候变化挑战，承诺到2030年将碳排放减少2.78亿吨以上。在这一目标下，智能城市技术发挥着至关重要的作用。通过优化能源消耗、最小化浪费和提高交通效率等手段，智能城市技术为沙特实现减排目标提供了有力支持。</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值得一提的是，中国在云计算、大数据分析和人工智能等领域具有领先优势，为沙特智能城市的建设提供了重要支持。中国企业通过提供智能基础设施解决方案，帮助沙特提高项目效率、优化资源利用率并促进可持续发展。这种合作模式不仅有助于推动沙特的经济增长和社会进步，也为中国企业提供了广阔的市场和发展机遇。</w:t>
      </w:r>
    </w:p>
    <w:p>
      <w:pPr>
        <w:keepNext w:val="0"/>
        <w:keepLines w:val="0"/>
        <w:pageBreakBefore w:val="0"/>
        <w:widowControl/>
        <w:kinsoku w:val="0"/>
        <w:wordWrap/>
        <w:overflowPunct/>
        <w:topLinePunct w:val="0"/>
        <w:autoSpaceDE w:val="0"/>
        <w:autoSpaceDN w:val="0"/>
        <w:bidi w:val="0"/>
        <w:adjustRightInd w:val="0"/>
        <w:snapToGrid/>
        <w:spacing w:line="360" w:lineRule="auto"/>
        <w:ind w:firstLine="560" w:firstLineChars="20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sz w:val="28"/>
          <w:szCs w:val="28"/>
          <w:lang w:val="en-US" w:eastAsia="zh-CN"/>
        </w:rPr>
        <w:t>总之，沙特智慧城市博览会的引入与“2030愿景”的雄心壮志相得益彰，展示了沙特在推动经济增长、改善居民生活和应对全球挑战方面的坚定决心和积极行动。通过积极布局数字基础设施和发展智能城市技术，沙特正朝着实现可持续发展的目标迈进，展现出其作为国际大都市的崭新形象。</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微软雅黑"/>
          <w:b/>
          <w:bCs/>
          <w:sz w:val="40"/>
          <w:szCs w:val="40"/>
          <w:lang w:val="en-US" w:eastAsia="zh-CN"/>
        </w:rPr>
      </w:pP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微软雅黑"/>
          <w:b/>
          <w:bCs/>
          <w:sz w:val="40"/>
          <w:szCs w:val="40"/>
          <w:lang w:val="en-US" w:eastAsia="zh-CN"/>
        </w:rPr>
        <w:t>招展范围</w:t>
      </w:r>
    </w:p>
    <w:p>
      <w:pPr>
        <w:keepNext w:val="0"/>
        <w:keepLines w:val="0"/>
        <w:pageBreakBefore w:val="0"/>
        <w:widowControl/>
        <w:kinsoku w:val="0"/>
        <w:wordWrap/>
        <w:overflowPunct/>
        <w:topLinePunct w:val="0"/>
        <w:autoSpaceDE w:val="0"/>
        <w:autoSpaceDN w:val="0"/>
        <w:bidi w:val="0"/>
        <w:adjustRightInd w:val="0"/>
        <w:snapToGrid/>
        <w:spacing w:line="360" w:lineRule="auto"/>
        <w:jc w:val="both"/>
        <w:textAlignment w:val="baseline"/>
        <w:rPr>
          <w:rFonts w:hint="eastAsia" w:ascii="微软雅黑" w:hAnsi="微软雅黑" w:eastAsia="微软雅黑" w:cs="宋体"/>
          <w:kern w:val="0"/>
          <w:sz w:val="43"/>
          <w:szCs w:val="43"/>
          <w:lang w:val="en-US" w:eastAsia="zh-CN"/>
        </w:rPr>
      </w:pPr>
      <w:r>
        <w:rPr>
          <w:rFonts w:hint="eastAsia" w:ascii="微软雅黑" w:hAnsi="微软雅黑" w:eastAsia="微软雅黑" w:cs="宋体"/>
          <w:kern w:val="0"/>
          <w:sz w:val="43"/>
          <w:szCs w:val="43"/>
          <w:lang w:val="en-US" w:eastAsia="zh-CN"/>
        </w:rPr>
        <w:drawing>
          <wp:inline distT="0" distB="0" distL="114300" distR="114300">
            <wp:extent cx="6415405" cy="2728595"/>
            <wp:effectExtent l="0" t="0" r="4445" b="14605"/>
            <wp:docPr id="5" name="图片 5" descr="E:/李姗/MIE/DEL_8082Resize.jpgDEL_8082Resize"/>
            <wp:cNvGraphicFramePr/>
            <a:graphic xmlns:a="http://schemas.openxmlformats.org/drawingml/2006/main">
              <a:graphicData uri="http://schemas.openxmlformats.org/drawingml/2006/picture">
                <pic:pic xmlns:pic="http://schemas.openxmlformats.org/drawingml/2006/picture">
                  <pic:nvPicPr>
                    <pic:cNvPr id="5" name="图片 5" descr="E:/李姗/MIE/DEL_8082Resize.jpgDEL_8082Resize"/>
                    <pic:cNvPicPr/>
                  </pic:nvPicPr>
                  <pic:blipFill>
                    <a:blip r:embed="rId8"/>
                    <a:srcRect t="5557" b="30541"/>
                    <a:stretch>
                      <a:fillRect/>
                    </a:stretch>
                  </pic:blipFill>
                  <pic:spPr>
                    <a:xfrm>
                      <a:off x="0" y="0"/>
                      <a:ext cx="6415405" cy="2728595"/>
                    </a:xfrm>
                    <a:prstGeom prst="rect">
                      <a:avLst/>
                    </a:prstGeom>
                  </pic:spPr>
                </pic:pic>
              </a:graphicData>
            </a:graphic>
          </wp:inline>
        </w:drawing>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数字经济：</w:t>
      </w:r>
      <w:r>
        <w:rPr>
          <w:rFonts w:hint="eastAsia" w:ascii="微软雅黑" w:hAnsi="微软雅黑" w:eastAsia="微软雅黑"/>
          <w:sz w:val="28"/>
          <w:szCs w:val="28"/>
          <w:lang w:val="en-US" w:eastAsia="zh-CN"/>
        </w:rPr>
        <w:t>电子商务、数字支付和金融服务、初创企业和创新生态系统、</w:t>
      </w:r>
      <w:r>
        <w:rPr>
          <w:rFonts w:hint="default" w:ascii="微软雅黑" w:hAnsi="微软雅黑" w:eastAsia="微软雅黑"/>
          <w:sz w:val="28"/>
          <w:szCs w:val="28"/>
          <w:lang w:val="en-US" w:eastAsia="zh-CN"/>
        </w:rPr>
        <w:t>数字技能和劳动力发展</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城市交通与交通：</w:t>
      </w:r>
      <w:r>
        <w:rPr>
          <w:rFonts w:hint="eastAsia" w:ascii="微软雅黑" w:hAnsi="微软雅黑" w:eastAsia="微软雅黑"/>
          <w:sz w:val="28"/>
          <w:szCs w:val="28"/>
          <w:lang w:val="en-US" w:eastAsia="zh-CN"/>
        </w:rPr>
        <w:t>智能交通管理、</w:t>
      </w:r>
      <w:r>
        <w:rPr>
          <w:rFonts w:hint="default" w:ascii="微软雅黑" w:hAnsi="微软雅黑" w:eastAsia="微软雅黑"/>
          <w:sz w:val="28"/>
          <w:szCs w:val="28"/>
          <w:lang w:val="en-US" w:eastAsia="zh-CN"/>
        </w:rPr>
        <w:t>公共交通系统</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电动和自动驾驶汽车</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智能停车解决方案</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智能建筑与基础设施：</w:t>
      </w:r>
      <w:r>
        <w:rPr>
          <w:rFonts w:hint="eastAsia" w:ascii="微软雅黑" w:hAnsi="微软雅黑" w:eastAsia="微软雅黑"/>
          <w:sz w:val="28"/>
          <w:szCs w:val="28"/>
          <w:lang w:val="en-US" w:eastAsia="zh-CN"/>
        </w:rPr>
        <w:t>节能暖通空调、</w:t>
      </w:r>
      <w:r>
        <w:rPr>
          <w:rFonts w:hint="default" w:ascii="微软雅黑" w:hAnsi="微软雅黑" w:eastAsia="微软雅黑"/>
          <w:sz w:val="28"/>
          <w:szCs w:val="28"/>
          <w:lang w:val="en-US" w:eastAsia="zh-CN"/>
        </w:rPr>
        <w:t>智能照明和能源管理</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楼宇自动化系统</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楼宇安全和访问控制</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智慧治理：</w:t>
      </w:r>
      <w:r>
        <w:rPr>
          <w:rFonts w:hint="eastAsia" w:ascii="微软雅黑" w:hAnsi="微软雅黑" w:eastAsia="微软雅黑"/>
          <w:sz w:val="28"/>
          <w:szCs w:val="28"/>
          <w:lang w:val="en-US" w:eastAsia="zh-CN"/>
        </w:rPr>
        <w:t>电子政务服务、</w:t>
      </w:r>
      <w:r>
        <w:rPr>
          <w:rFonts w:hint="default" w:ascii="微软雅黑" w:hAnsi="微软雅黑" w:eastAsia="微软雅黑"/>
          <w:sz w:val="28"/>
          <w:szCs w:val="28"/>
          <w:lang w:val="en-US" w:eastAsia="zh-CN"/>
        </w:rPr>
        <w:t>公民参与平台</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开放数据倡议</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数字身份和身份验证</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default"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IT和电信：</w:t>
      </w:r>
      <w:r>
        <w:rPr>
          <w:rFonts w:hint="eastAsia" w:ascii="微软雅黑" w:hAnsi="微软雅黑" w:eastAsia="微软雅黑"/>
          <w:sz w:val="28"/>
          <w:szCs w:val="28"/>
          <w:lang w:val="en-US" w:eastAsia="zh-CN"/>
        </w:rPr>
        <w:t>高速宽带和连接、</w:t>
      </w:r>
      <w:r>
        <w:rPr>
          <w:rFonts w:hint="default" w:ascii="微软雅黑" w:hAnsi="微软雅黑" w:eastAsia="微软雅黑"/>
          <w:sz w:val="28"/>
          <w:szCs w:val="28"/>
          <w:lang w:val="en-US" w:eastAsia="zh-CN"/>
        </w:rPr>
        <w:t>物联网基础设施</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5G网络部署</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数据中心和云服务</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default"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电力与能源：</w:t>
      </w:r>
      <w:r>
        <w:rPr>
          <w:rFonts w:hint="default" w:ascii="微软雅黑" w:hAnsi="微软雅黑" w:eastAsia="微软雅黑"/>
          <w:sz w:val="28"/>
          <w:szCs w:val="28"/>
          <w:lang w:val="en-US" w:eastAsia="zh-CN"/>
        </w:rPr>
        <w:t>智能电网和能源分配</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需求响应系统</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储能解决方案</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微电网部署</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安全与保障：</w:t>
      </w:r>
      <w:r>
        <w:rPr>
          <w:rFonts w:hint="default" w:ascii="微软雅黑" w:hAnsi="微软雅黑" w:eastAsia="微软雅黑"/>
          <w:sz w:val="28"/>
          <w:szCs w:val="28"/>
          <w:lang w:val="en-US" w:eastAsia="zh-CN"/>
        </w:rPr>
        <w:t>视频监控与分析</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能源响应系统</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公共安全传感器和警报</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犯罪预测与预防</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消防安全技术</w:t>
      </w:r>
      <w:r>
        <w:rPr>
          <w:rFonts w:hint="eastAsia" w:ascii="微软雅黑" w:hAnsi="微软雅黑" w:eastAsia="微软雅黑"/>
          <w:sz w:val="28"/>
          <w:szCs w:val="28"/>
          <w:lang w:val="en-US" w:eastAsia="zh-CN"/>
        </w:rPr>
        <w:t>；</w:t>
      </w:r>
    </w:p>
    <w:p>
      <w:pPr>
        <w:keepNext w:val="0"/>
        <w:keepLines w:val="0"/>
        <w:pageBreakBefore w:val="0"/>
        <w:widowControl/>
        <w:numPr>
          <w:ilvl w:val="0"/>
          <w:numId w:val="1"/>
        </w:numPr>
        <w:kinsoku w:val="0"/>
        <w:wordWrap/>
        <w:overflowPunct/>
        <w:topLinePunct w:val="0"/>
        <w:autoSpaceDE w:val="0"/>
        <w:autoSpaceDN w:val="0"/>
        <w:bidi w:val="0"/>
        <w:adjustRightInd w:val="0"/>
        <w:snapToGrid/>
        <w:spacing w:line="360" w:lineRule="auto"/>
        <w:ind w:left="420" w:leftChars="0" w:hanging="420" w:firstLineChars="0"/>
        <w:jc w:val="both"/>
        <w:textAlignment w:val="baseline"/>
        <w:rPr>
          <w:rFonts w:hint="eastAsia" w:ascii="微软雅黑" w:hAnsi="微软雅黑" w:eastAsia="微软雅黑"/>
          <w:sz w:val="28"/>
          <w:szCs w:val="28"/>
          <w:lang w:val="en-US" w:eastAsia="zh-CN"/>
        </w:rPr>
      </w:pPr>
      <w:r>
        <w:rPr>
          <w:rFonts w:hint="eastAsia" w:ascii="微软雅黑" w:hAnsi="微软雅黑" w:eastAsia="微软雅黑"/>
          <w:b/>
          <w:bCs/>
          <w:sz w:val="28"/>
          <w:szCs w:val="28"/>
          <w:lang w:val="en-US" w:eastAsia="zh-CN"/>
        </w:rPr>
        <w:t>可持续发展与环境：</w:t>
      </w:r>
      <w:r>
        <w:rPr>
          <w:rFonts w:hint="default" w:ascii="微软雅黑" w:hAnsi="微软雅黑" w:eastAsia="微软雅黑"/>
          <w:sz w:val="28"/>
          <w:szCs w:val="28"/>
          <w:lang w:val="en-US" w:eastAsia="zh-CN"/>
        </w:rPr>
        <w:t>可再生能源整合</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废物回收和资源管理</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空气和水质监测</w:t>
      </w:r>
      <w:r>
        <w:rPr>
          <w:rFonts w:hint="eastAsia" w:ascii="微软雅黑" w:hAnsi="微软雅黑" w:eastAsia="微软雅黑"/>
          <w:sz w:val="28"/>
          <w:szCs w:val="28"/>
          <w:lang w:val="en-US" w:eastAsia="zh-CN"/>
        </w:rPr>
        <w:t>、</w:t>
      </w:r>
      <w:r>
        <w:rPr>
          <w:rFonts w:hint="default" w:ascii="微软雅黑" w:hAnsi="微软雅黑" w:eastAsia="微软雅黑"/>
          <w:sz w:val="28"/>
          <w:szCs w:val="28"/>
          <w:lang w:val="en-US" w:eastAsia="zh-CN"/>
        </w:rPr>
        <w:t>可持续水资源管理</w:t>
      </w:r>
      <w:r>
        <w:rPr>
          <w:rFonts w:hint="eastAsia" w:ascii="微软雅黑" w:hAnsi="微软雅黑" w:eastAsia="微软雅黑"/>
          <w:sz w:val="28"/>
          <w:szCs w:val="28"/>
          <w:lang w:val="en-US" w:eastAsia="zh-CN"/>
        </w:rPr>
        <w:t>。</w:t>
      </w:r>
    </w:p>
    <w:p>
      <w:pPr>
        <w:widowControl/>
        <w:numPr>
          <w:ilvl w:val="0"/>
          <w:numId w:val="0"/>
        </w:numPr>
        <w:shd w:val="clear" w:color="auto" w:fill="FFFFFF"/>
        <w:wordWrap w:val="0"/>
        <w:spacing w:line="432" w:lineRule="atLeast"/>
        <w:ind w:leftChars="0"/>
        <w:jc w:val="both"/>
        <w:rPr>
          <w:rFonts w:hint="eastAsia" w:ascii="微软雅黑" w:hAnsi="微软雅黑" w:eastAsia="微软雅黑" w:cs="宋体"/>
          <w:color w:val="333333"/>
          <w:kern w:val="0"/>
          <w:szCs w:val="21"/>
          <w:lang w:val="en-US" w:eastAsia="zh-CN"/>
        </w:rPr>
      </w:pPr>
    </w:p>
    <w:p>
      <w:pPr>
        <w:widowControl/>
        <w:numPr>
          <w:ilvl w:val="0"/>
          <w:numId w:val="0"/>
        </w:numPr>
        <w:shd w:val="clear" w:color="auto" w:fill="FFFFFF"/>
        <w:wordWrap w:val="0"/>
        <w:spacing w:line="432" w:lineRule="atLeast"/>
        <w:ind w:leftChars="0"/>
        <w:jc w:val="both"/>
        <w:rPr>
          <w:rFonts w:hint="eastAsia" w:ascii="微软雅黑" w:hAnsi="微软雅黑" w:eastAsia="微软雅黑" w:cs="宋体"/>
          <w:color w:val="333333"/>
          <w:kern w:val="0"/>
          <w:szCs w:val="21"/>
          <w:lang w:val="en-US" w:eastAsia="zh-CN"/>
        </w:rPr>
      </w:pPr>
    </w:p>
    <w:p>
      <w:pPr>
        <w:widowControl/>
        <w:numPr>
          <w:ilvl w:val="0"/>
          <w:numId w:val="0"/>
        </w:numPr>
        <w:shd w:val="clear" w:color="auto" w:fill="FFFFFF"/>
        <w:wordWrap w:val="0"/>
        <w:spacing w:line="432" w:lineRule="atLeast"/>
        <w:ind w:leftChars="0"/>
        <w:jc w:val="both"/>
        <w:rPr>
          <w:rFonts w:hint="default" w:ascii="微软雅黑" w:hAnsi="微软雅黑" w:eastAsia="微软雅黑" w:cs="宋体"/>
          <w:color w:val="333333"/>
          <w:kern w:val="0"/>
          <w:szCs w:val="21"/>
          <w:lang w:val="en-US" w:eastAsia="zh-CN"/>
        </w:rPr>
      </w:pPr>
    </w:p>
    <w:sectPr>
      <w:pgSz w:w="11906" w:h="16838"/>
      <w:pgMar w:top="567" w:right="850" w:bottom="567" w:left="85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498B85"/>
    <w:multiLevelType w:val="singleLevel"/>
    <w:tmpl w:val="64498B85"/>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ZTUyNjZlMWNiZTRhYWQ0OWNkYjI5YjM0NGI4NGUifQ=="/>
  </w:docVars>
  <w:rsids>
    <w:rsidRoot w:val="00000000"/>
    <w:rsid w:val="021055BF"/>
    <w:rsid w:val="06533B2B"/>
    <w:rsid w:val="0A4414FF"/>
    <w:rsid w:val="0AFD7E90"/>
    <w:rsid w:val="0B365CE9"/>
    <w:rsid w:val="0CCD15FF"/>
    <w:rsid w:val="0F2C7498"/>
    <w:rsid w:val="123E7184"/>
    <w:rsid w:val="137B3BD9"/>
    <w:rsid w:val="13946135"/>
    <w:rsid w:val="14077076"/>
    <w:rsid w:val="1693610F"/>
    <w:rsid w:val="16CC27AD"/>
    <w:rsid w:val="1D85341C"/>
    <w:rsid w:val="22790A4C"/>
    <w:rsid w:val="2CA8730B"/>
    <w:rsid w:val="2FB636D0"/>
    <w:rsid w:val="338B0149"/>
    <w:rsid w:val="38DE121A"/>
    <w:rsid w:val="3E6F7C61"/>
    <w:rsid w:val="3FF04CAC"/>
    <w:rsid w:val="421F3775"/>
    <w:rsid w:val="442C5396"/>
    <w:rsid w:val="45340519"/>
    <w:rsid w:val="47E35FDA"/>
    <w:rsid w:val="497F2993"/>
    <w:rsid w:val="4EA93C5F"/>
    <w:rsid w:val="53CA6A5F"/>
    <w:rsid w:val="56E55FBF"/>
    <w:rsid w:val="57187026"/>
    <w:rsid w:val="5C412695"/>
    <w:rsid w:val="5D1F6367"/>
    <w:rsid w:val="5D3414DC"/>
    <w:rsid w:val="5D5F32BF"/>
    <w:rsid w:val="5E007B96"/>
    <w:rsid w:val="6145156F"/>
    <w:rsid w:val="62806114"/>
    <w:rsid w:val="63312314"/>
    <w:rsid w:val="683242A3"/>
    <w:rsid w:val="6A243F51"/>
    <w:rsid w:val="6B374072"/>
    <w:rsid w:val="6EF01245"/>
    <w:rsid w:val="6FD967A8"/>
    <w:rsid w:val="703F2826"/>
    <w:rsid w:val="723C1531"/>
    <w:rsid w:val="72570AAB"/>
    <w:rsid w:val="74C30200"/>
    <w:rsid w:val="77671F90"/>
    <w:rsid w:val="777543E5"/>
    <w:rsid w:val="7A8E69E6"/>
    <w:rsid w:val="7E7D4926"/>
    <w:rsid w:val="7FAF1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5"/>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semiHidden/>
    <w:qFormat/>
    <w:uiPriority w:val="0"/>
    <w:rPr>
      <w:rFonts w:ascii="微软雅黑" w:hAnsi="微软雅黑" w:eastAsia="微软雅黑" w:cs="微软雅黑"/>
      <w:sz w:val="21"/>
      <w:szCs w:val="21"/>
      <w:lang w:val="en-US" w:eastAsia="en-US" w:bidi="ar-SA"/>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autoRedefine/>
    <w:qFormat/>
    <w:uiPriority w:val="0"/>
    <w:rPr>
      <w:color w:val="0000FF"/>
      <w:u w:val="single"/>
    </w:rPr>
  </w:style>
  <w:style w:type="table" w:customStyle="1" w:styleId="9">
    <w:name w:val="Table Normal"/>
    <w:autoRedefine/>
    <w:semiHidden/>
    <w:unhideWhenUsed/>
    <w:qFormat/>
    <w:uiPriority w:val="0"/>
    <w:tblPr>
      <w:tblCellMar>
        <w:top w:w="0" w:type="dxa"/>
        <w:left w:w="0" w:type="dxa"/>
        <w:bottom w:w="0" w:type="dxa"/>
        <w:right w:w="0" w:type="dxa"/>
      </w:tblCellMar>
    </w:tblPr>
  </w:style>
  <w:style w:type="paragraph" w:styleId="1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1530</Words>
  <Characters>1621</Characters>
  <Lines>0</Lines>
  <Paragraphs>0</Paragraphs>
  <TotalTime>0</TotalTime>
  <ScaleCrop>false</ScaleCrop>
  <LinksUpToDate>false</LinksUpToDate>
  <CharactersWithSpaces>1651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2023-09-28T00:45:00Z</dcterms:created>
  <dc:creator>admin</dc:creator>
  <cp:lastModifiedBy>WPS_1699857115</cp:lastModifiedBy>
  <dcterms:modified xsi:type="dcterms:W3CDTF">2024-07-10T06:48:01Z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D587F0D87A854DE6A7F81288F7E8A489_12</vt:lpwstr>
  </property>
</Properties>
</file>